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82B5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1"/>
          <w:szCs w:val="21"/>
        </w:rPr>
      </w:pPr>
    </w:p>
    <w:p w14:paraId="0D9069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32"/>
          <w:szCs w:val="32"/>
          <w:lang w:val="en-US" w:eastAsia="zh-CN"/>
        </w:rPr>
        <w:t xml:space="preserve">Bsp QI产品说明书 </w:t>
      </w:r>
    </w:p>
    <w:p w14:paraId="6C0EEF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b/>
          <w:bCs/>
          <w:sz w:val="32"/>
          <w:szCs w:val="32"/>
          <w:lang w:val="en-US" w:eastAsia="zh-CN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3"/>
        <w:gridCol w:w="2143"/>
        <w:gridCol w:w="1736"/>
      </w:tblGrid>
      <w:tr w14:paraId="2A2CD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3" w:type="dxa"/>
            <w:tcBorders>
              <w:left w:val="nil"/>
              <w:bottom w:val="single" w:color="auto" w:sz="4" w:space="0"/>
              <w:right w:val="nil"/>
            </w:tcBorders>
          </w:tcPr>
          <w:p w14:paraId="290F20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2143" w:type="dxa"/>
            <w:tcBorders>
              <w:left w:val="nil"/>
              <w:bottom w:val="single" w:color="auto" w:sz="4" w:space="0"/>
              <w:right w:val="nil"/>
            </w:tcBorders>
          </w:tcPr>
          <w:p w14:paraId="497E4C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货号</w:t>
            </w:r>
          </w:p>
        </w:tc>
        <w:tc>
          <w:tcPr>
            <w:tcW w:w="1736" w:type="dxa"/>
            <w:tcBorders>
              <w:left w:val="nil"/>
              <w:bottom w:val="single" w:color="auto" w:sz="4" w:space="0"/>
              <w:right w:val="nil"/>
            </w:tcBorders>
          </w:tcPr>
          <w:p w14:paraId="76A4BB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规格</w:t>
            </w:r>
          </w:p>
        </w:tc>
      </w:tr>
      <w:tr w14:paraId="407B8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3" w:type="dxa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73C4AC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BspQI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  <w:t>U/μL</w:t>
            </w:r>
          </w:p>
        </w:tc>
        <w:tc>
          <w:tcPr>
            <w:tcW w:w="214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067828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M108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01</w:t>
            </w:r>
          </w:p>
        </w:tc>
        <w:tc>
          <w:tcPr>
            <w:tcW w:w="173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EB975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 xml:space="preserve">50 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</w:rPr>
              <w:t>μL</w:t>
            </w:r>
          </w:p>
        </w:tc>
      </w:tr>
      <w:tr w14:paraId="4788E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3" w:type="dxa"/>
            <w:vMerge w:val="continue"/>
            <w:tcBorders>
              <w:left w:val="nil"/>
              <w:right w:val="nil"/>
            </w:tcBorders>
          </w:tcPr>
          <w:p w14:paraId="426574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</w:tcPr>
          <w:p w14:paraId="6C998F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M108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</w:tcPr>
          <w:p w14:paraId="028550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 xml:space="preserve">100 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</w:rPr>
              <w:t>μL</w:t>
            </w:r>
          </w:p>
        </w:tc>
      </w:tr>
      <w:tr w14:paraId="2CBCC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4643" w:type="dxa"/>
            <w:vMerge w:val="continue"/>
            <w:tcBorders>
              <w:left w:val="nil"/>
              <w:right w:val="nil"/>
            </w:tcBorders>
          </w:tcPr>
          <w:p w14:paraId="1CDA89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</w:tcPr>
          <w:p w14:paraId="1FE147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M108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</w:tcPr>
          <w:p w14:paraId="066D6C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 xml:space="preserve">200 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</w:rPr>
              <w:t>μL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</w:p>
        </w:tc>
      </w:tr>
      <w:tr w14:paraId="34DE0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3" w:type="dxa"/>
            <w:vMerge w:val="continue"/>
            <w:tcBorders>
              <w:left w:val="nil"/>
              <w:right w:val="nil"/>
            </w:tcBorders>
          </w:tcPr>
          <w:p w14:paraId="4B232F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43" w:type="dxa"/>
            <w:tcBorders>
              <w:top w:val="nil"/>
              <w:left w:val="nil"/>
              <w:right w:val="nil"/>
            </w:tcBorders>
          </w:tcPr>
          <w:p w14:paraId="229F97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M108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736" w:type="dxa"/>
            <w:tcBorders>
              <w:top w:val="nil"/>
              <w:left w:val="nil"/>
              <w:right w:val="nil"/>
            </w:tcBorders>
          </w:tcPr>
          <w:p w14:paraId="409940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 xml:space="preserve">500 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</w:rPr>
              <w:t>μL</w:t>
            </w:r>
          </w:p>
        </w:tc>
      </w:tr>
    </w:tbl>
    <w:p w14:paraId="0EA051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186849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产品描述</w:t>
      </w:r>
    </w:p>
    <w:p w14:paraId="3FA637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本产品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是</w:t>
      </w:r>
      <w:r>
        <w:rPr>
          <w:rFonts w:hint="default" w:ascii="Times New Roman" w:hAnsi="Times New Roman" w:eastAsia="宋体" w:cs="Times New Roman"/>
          <w:sz w:val="24"/>
          <w:szCs w:val="24"/>
        </w:rPr>
        <w:t>来源于大肠杆菌(</w:t>
      </w:r>
      <w:r>
        <w:rPr>
          <w:rFonts w:hint="default" w:ascii="Times New Roman" w:hAnsi="Times New Roman" w:eastAsia="宋体" w:cs="Times New Roman"/>
          <w:i/>
          <w:iCs/>
          <w:sz w:val="24"/>
          <w:szCs w:val="24"/>
        </w:rPr>
        <w:t>E.coli</w:t>
      </w:r>
      <w:r>
        <w:rPr>
          <w:rFonts w:hint="default" w:ascii="Times New Roman" w:hAnsi="Times New Roman" w:eastAsia="宋体" w:cs="Times New Roman"/>
          <w:sz w:val="24"/>
          <w:szCs w:val="24"/>
        </w:rPr>
        <w:t>)表达的球形芽孢杆菌(</w:t>
      </w:r>
      <w:r>
        <w:rPr>
          <w:rFonts w:hint="default" w:ascii="Times New Roman" w:hAnsi="Times New Roman" w:eastAsia="宋体" w:cs="Times New Roman"/>
          <w:i/>
          <w:iCs/>
          <w:sz w:val="24"/>
          <w:szCs w:val="24"/>
        </w:rPr>
        <w:t>Bacillussphaericus</w:t>
      </w:r>
      <w:r>
        <w:rPr>
          <w:rFonts w:hint="default" w:ascii="Times New Roman" w:hAnsi="Times New Roman" w:eastAsia="宋体" w:cs="Times New Roman"/>
          <w:sz w:val="24"/>
          <w:szCs w:val="24"/>
        </w:rPr>
        <w:t>)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</w:rPr>
        <w:t>BspQI基因编码的重组蛋白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，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是</w:t>
      </w:r>
      <w:r>
        <w:rPr>
          <w:rFonts w:hint="default" w:ascii="Times New Roman" w:hAnsi="Times New Roman" w:eastAsia="宋体" w:cs="Times New Roman"/>
          <w:sz w:val="24"/>
          <w:szCs w:val="24"/>
        </w:rPr>
        <w:t>一种II型限制性内切酶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，</w:t>
      </w:r>
      <w:r>
        <w:rPr>
          <w:rFonts w:hint="default" w:ascii="Times New Roman" w:hAnsi="Times New Roman" w:eastAsia="宋体" w:cs="Times New Roman"/>
          <w:sz w:val="24"/>
          <w:szCs w:val="24"/>
        </w:rPr>
        <w:t>其识别序列和切割位点如下：</w:t>
      </w:r>
    </w:p>
    <w:p w14:paraId="140BCE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900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5'······GCTCTTC(N)</w:t>
      </w:r>
      <w:r>
        <w:rPr>
          <w:rFonts w:ascii="宋体" w:hAnsi="宋体" w:eastAsia="宋体" w:cs="宋体"/>
          <w:sz w:val="24"/>
          <w:szCs w:val="24"/>
        </w:rPr>
        <w:t>↓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··············3' </w:t>
      </w:r>
    </w:p>
    <w:p w14:paraId="4EC2AD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900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3'······CGAGAAG(NNNN)</w:t>
      </w:r>
      <w:r>
        <w:rPr>
          <w:rFonts w:ascii="宋体" w:hAnsi="宋体" w:eastAsia="宋体" w:cs="宋体"/>
          <w:sz w:val="24"/>
          <w:szCs w:val="24"/>
        </w:rPr>
        <w:t>↑</w:t>
      </w:r>
      <w:r>
        <w:rPr>
          <w:rFonts w:hint="default" w:ascii="Times New Roman" w:hAnsi="Times New Roman" w:eastAsia="宋体" w:cs="Times New Roman"/>
          <w:sz w:val="24"/>
          <w:szCs w:val="24"/>
        </w:rPr>
        <w:t>······5'</w:t>
      </w:r>
    </w:p>
    <w:p w14:paraId="1DE82D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本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产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品为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GMP级产品，为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无色透明溶液，经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检测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不含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DNA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酶、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RNA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酶污染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，并且宿主核酸残留检测符合标准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。</w:t>
      </w:r>
    </w:p>
    <w:p w14:paraId="5D1325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产品信息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7"/>
        <w:gridCol w:w="6555"/>
      </w:tblGrid>
      <w:tr w14:paraId="060AD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7" w:type="dxa"/>
          </w:tcPr>
          <w:p w14:paraId="22D4185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产品名称</w:t>
            </w:r>
          </w:p>
        </w:tc>
        <w:tc>
          <w:tcPr>
            <w:tcW w:w="6555" w:type="dxa"/>
          </w:tcPr>
          <w:p w14:paraId="1B43A4D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218" w:leftChars="104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BspQI</w:t>
            </w:r>
          </w:p>
        </w:tc>
      </w:tr>
      <w:tr w14:paraId="30E46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7" w:type="dxa"/>
          </w:tcPr>
          <w:p w14:paraId="7835270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来源</w:t>
            </w:r>
          </w:p>
        </w:tc>
        <w:tc>
          <w:tcPr>
            <w:tcW w:w="6555" w:type="dxa"/>
          </w:tcPr>
          <w:p w14:paraId="7599C5B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218" w:leftChars="104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重组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大肠杆菌</w:t>
            </w:r>
          </w:p>
        </w:tc>
      </w:tr>
      <w:tr w14:paraId="2D9FD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7" w:type="dxa"/>
            <w:vAlign w:val="center"/>
          </w:tcPr>
          <w:p w14:paraId="52FCCBB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活性单位定义</w:t>
            </w:r>
          </w:p>
        </w:tc>
        <w:tc>
          <w:tcPr>
            <w:tcW w:w="6555" w:type="dxa"/>
          </w:tcPr>
          <w:p w14:paraId="2221E1D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218" w:leftChars="104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50℃条件下，1小时内完全切割1 μg λDNA所需要的酶量定义为1个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U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。</w:t>
            </w:r>
          </w:p>
        </w:tc>
      </w:tr>
      <w:tr w14:paraId="42578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7" w:type="dxa"/>
            <w:vAlign w:val="center"/>
          </w:tcPr>
          <w:p w14:paraId="6C0E902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储存缓冲液</w:t>
            </w:r>
          </w:p>
        </w:tc>
        <w:tc>
          <w:tcPr>
            <w:tcW w:w="6555" w:type="dxa"/>
          </w:tcPr>
          <w:p w14:paraId="04C367F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218" w:leftChars="104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20 mM Tris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-HCl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(25℃，pH 7.0)，500 mM KCl，0.1 mM EDTA，1 mM DTT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0.01% Triton X-100，50% Glycero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l</w:t>
            </w:r>
          </w:p>
        </w:tc>
      </w:tr>
      <w:tr w14:paraId="6F0E8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7" w:type="dxa"/>
          </w:tcPr>
          <w:p w14:paraId="5EFC4B3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储存条件</w:t>
            </w:r>
          </w:p>
        </w:tc>
        <w:tc>
          <w:tcPr>
            <w:tcW w:w="6555" w:type="dxa"/>
          </w:tcPr>
          <w:p w14:paraId="40B8424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-20℃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保存</w:t>
            </w:r>
          </w:p>
        </w:tc>
      </w:tr>
    </w:tbl>
    <w:p w14:paraId="69B30A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3944559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运输和储存</w:t>
      </w:r>
    </w:p>
    <w:p w14:paraId="095C935C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可在</w:t>
      </w:r>
      <w:bookmarkStart w:id="0" w:name="OLE_LINK3"/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20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℃</w:t>
      </w:r>
      <w:bookmarkEnd w:id="0"/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保存两年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，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≤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0℃运输。</w:t>
      </w:r>
    </w:p>
    <w:p w14:paraId="01396D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</w:p>
    <w:p w14:paraId="454991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jc w:val="left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适用范围</w:t>
      </w:r>
    </w:p>
    <w:p w14:paraId="1349DA9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酶切质粒制备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末端为</w:t>
      </w:r>
      <w:r>
        <w:rPr>
          <w:rFonts w:hint="default" w:ascii="Times New Roman" w:hAnsi="Times New Roman" w:eastAsia="宋体" w:cs="Times New Roman"/>
          <w:sz w:val="24"/>
          <w:szCs w:val="24"/>
        </w:rPr>
        <w:t>poly(A/T/C/G)的线性化DNA片段；</w:t>
      </w:r>
    </w:p>
    <w:p w14:paraId="2E1CE98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酶切DNA获得特定的粘性末端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；</w:t>
      </w:r>
    </w:p>
    <w:p w14:paraId="787B43D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分子克隆；</w:t>
      </w:r>
    </w:p>
    <w:p w14:paraId="19AE388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限制性酶切片段多态性检测；</w:t>
      </w:r>
    </w:p>
    <w:p w14:paraId="1590B2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jc w:val="left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建议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反应体系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7"/>
        <w:gridCol w:w="2222"/>
        <w:gridCol w:w="2033"/>
      </w:tblGrid>
      <w:tr w14:paraId="3883F25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7" w:type="dxa"/>
            <w:tcBorders>
              <w:bottom w:val="single" w:color="000000" w:sz="4" w:space="0"/>
              <w:tl2br w:val="nil"/>
              <w:tr2bl w:val="nil"/>
            </w:tcBorders>
          </w:tcPr>
          <w:p w14:paraId="03BF06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组分</w:t>
            </w:r>
          </w:p>
        </w:tc>
        <w:tc>
          <w:tcPr>
            <w:tcW w:w="2222" w:type="dxa"/>
            <w:tcBorders>
              <w:bottom w:val="single" w:color="000000" w:sz="4" w:space="0"/>
              <w:tl2br w:val="nil"/>
              <w:tr2bl w:val="nil"/>
            </w:tcBorders>
          </w:tcPr>
          <w:p w14:paraId="1FBCBA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体积（μL）</w:t>
            </w:r>
          </w:p>
        </w:tc>
        <w:tc>
          <w:tcPr>
            <w:tcW w:w="2033" w:type="dxa"/>
            <w:tcBorders>
              <w:bottom w:val="single" w:color="000000" w:sz="4" w:space="0"/>
              <w:tl2br w:val="nil"/>
              <w:tr2bl w:val="nil"/>
            </w:tcBorders>
          </w:tcPr>
          <w:p w14:paraId="128AE9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终浓度</w:t>
            </w:r>
          </w:p>
        </w:tc>
      </w:tr>
      <w:tr w14:paraId="42A6E2A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7" w:type="dxa"/>
            <w:tcBorders>
              <w:top w:val="single" w:color="000000" w:sz="4" w:space="0"/>
              <w:bottom w:val="nil"/>
            </w:tcBorders>
          </w:tcPr>
          <w:p w14:paraId="47CE2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10 × Digestion Buffer</w:t>
            </w:r>
          </w:p>
        </w:tc>
        <w:tc>
          <w:tcPr>
            <w:tcW w:w="2222" w:type="dxa"/>
            <w:tcBorders>
              <w:top w:val="single" w:color="000000" w:sz="4" w:space="0"/>
              <w:bottom w:val="nil"/>
            </w:tcBorders>
          </w:tcPr>
          <w:p w14:paraId="1440EF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2033" w:type="dxa"/>
            <w:tcBorders>
              <w:top w:val="single" w:color="000000" w:sz="4" w:space="0"/>
              <w:bottom w:val="nil"/>
            </w:tcBorders>
          </w:tcPr>
          <w:p w14:paraId="33C45A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1×</w:t>
            </w:r>
          </w:p>
        </w:tc>
      </w:tr>
      <w:tr w14:paraId="5DADFEC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7" w:type="dxa"/>
            <w:tcBorders>
              <w:top w:val="nil"/>
              <w:bottom w:val="nil"/>
            </w:tcBorders>
          </w:tcPr>
          <w:p w14:paraId="616D3A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BspQI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(10U/μL)</w:t>
            </w:r>
          </w:p>
        </w:tc>
        <w:tc>
          <w:tcPr>
            <w:tcW w:w="2222" w:type="dxa"/>
            <w:tcBorders>
              <w:top w:val="nil"/>
              <w:bottom w:val="nil"/>
            </w:tcBorders>
          </w:tcPr>
          <w:p w14:paraId="36CF2B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 xml:space="preserve">1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μL</w:t>
            </w:r>
          </w:p>
        </w:tc>
        <w:tc>
          <w:tcPr>
            <w:tcW w:w="2033" w:type="dxa"/>
            <w:tcBorders>
              <w:top w:val="nil"/>
              <w:bottom w:val="nil"/>
            </w:tcBorders>
          </w:tcPr>
          <w:p w14:paraId="0C493D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0.5 U/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μL</w:t>
            </w:r>
          </w:p>
        </w:tc>
      </w:tr>
      <w:tr w14:paraId="4E922EC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7" w:type="dxa"/>
            <w:tcBorders>
              <w:top w:val="nil"/>
              <w:bottom w:val="nil"/>
            </w:tcBorders>
          </w:tcPr>
          <w:p w14:paraId="192719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模板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DNA</w:t>
            </w:r>
          </w:p>
        </w:tc>
        <w:tc>
          <w:tcPr>
            <w:tcW w:w="2222" w:type="dxa"/>
            <w:tcBorders>
              <w:top w:val="nil"/>
              <w:bottom w:val="nil"/>
            </w:tcBorders>
          </w:tcPr>
          <w:p w14:paraId="502260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 xml:space="preserve">1-2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μ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g</w:t>
            </w:r>
          </w:p>
        </w:tc>
        <w:tc>
          <w:tcPr>
            <w:tcW w:w="2033" w:type="dxa"/>
            <w:tcBorders>
              <w:top w:val="nil"/>
              <w:bottom w:val="nil"/>
            </w:tcBorders>
          </w:tcPr>
          <w:p w14:paraId="416B0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2"/>
                <w:szCs w:val="22"/>
                <w:lang w:val="en-US" w:eastAsia="zh-CN"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~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2"/>
                <w:szCs w:val="22"/>
                <w:lang w:val="en-US" w:eastAsia="zh-CN" w:bidi="ar"/>
              </w:rPr>
              <w:t xml:space="preserve"> 100 ng/μl</w:t>
            </w:r>
          </w:p>
        </w:tc>
      </w:tr>
      <w:tr w14:paraId="56A2EA3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7" w:type="dxa"/>
            <w:tcBorders>
              <w:top w:val="nil"/>
              <w:tl2br w:val="nil"/>
              <w:tr2bl w:val="nil"/>
            </w:tcBorders>
          </w:tcPr>
          <w:p w14:paraId="280C4C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RNase free H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2"/>
                <w:szCs w:val="22"/>
                <w:vertAlign w:val="sub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O</w:t>
            </w:r>
          </w:p>
        </w:tc>
        <w:tc>
          <w:tcPr>
            <w:tcW w:w="2222" w:type="dxa"/>
            <w:tcBorders>
              <w:top w:val="nil"/>
              <w:tl2br w:val="nil"/>
              <w:tr2bl w:val="nil"/>
            </w:tcBorders>
          </w:tcPr>
          <w:p w14:paraId="21AC54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 xml:space="preserve">Up to 20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μL</w:t>
            </w:r>
          </w:p>
        </w:tc>
        <w:tc>
          <w:tcPr>
            <w:tcW w:w="2033" w:type="dxa"/>
            <w:tcBorders>
              <w:top w:val="nil"/>
              <w:tl2br w:val="nil"/>
              <w:tr2bl w:val="nil"/>
            </w:tcBorders>
          </w:tcPr>
          <w:p w14:paraId="13E100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-</w:t>
            </w:r>
          </w:p>
        </w:tc>
      </w:tr>
    </w:tbl>
    <w:p w14:paraId="2B46B46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反应条件：50℃反应1 h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，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反应完成后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80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℃孵育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20min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可终止反应。</w:t>
      </w:r>
    </w:p>
    <w:p w14:paraId="3F4047EE"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</w:p>
    <w:p w14:paraId="7581FA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jc w:val="left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注意事项</w:t>
      </w:r>
    </w:p>
    <w:p w14:paraId="5394FAC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40" w:leftChars="0" w:hanging="240" w:hangingChars="100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限制性内切酶添加体积不超过反应体积的1/10； </w:t>
      </w:r>
    </w:p>
    <w:p w14:paraId="67F9E4C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40" w:leftChars="0" w:hanging="240" w:hangingChars="100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甘油浓度超过5%时容易产生星活性；</w:t>
      </w:r>
    </w:p>
    <w:p w14:paraId="1E4B8D7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40" w:leftChars="0" w:hanging="240" w:hangingChars="100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BspQI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对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Dam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、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Dcm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和哺乳动物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CpG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甲基化不敏感</w:t>
      </w:r>
      <w:r>
        <w:rPr>
          <w:rFonts w:hint="default" w:ascii="Times New Roman" w:hAnsi="Times New Roman" w:eastAsia="宋体" w:cs="Times New Roman"/>
          <w:sz w:val="24"/>
          <w:szCs w:val="24"/>
        </w:rPr>
        <w:t>；</w:t>
      </w:r>
    </w:p>
    <w:p w14:paraId="45DD8EF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40" w:leftChars="0" w:hanging="240" w:hangingChars="1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3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</w:rPr>
        <w:t>为了您的安全和健康，请穿实验服并佩戴一次性手套操作；</w:t>
      </w:r>
    </w:p>
    <w:p w14:paraId="36210A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46" w:leftChars="0" w:hanging="246" w:hangingChars="1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3"/>
          <w:kern w:val="0"/>
          <w:sz w:val="24"/>
          <w:szCs w:val="24"/>
          <w:shd w:val="clear" w:fill="FFFFFF"/>
          <w:lang w:val="en-US" w:eastAsia="zh-CN" w:bidi="ar"/>
        </w:rPr>
      </w:pPr>
    </w:p>
    <w:p w14:paraId="5713952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3"/>
          <w:kern w:val="0"/>
          <w:sz w:val="24"/>
          <w:szCs w:val="24"/>
          <w:shd w:val="clear" w:fill="FFFFFF"/>
          <w:lang w:val="en-US" w:eastAsia="zh-CN" w:bidi="ar"/>
        </w:rPr>
      </w:pPr>
    </w:p>
    <w:p w14:paraId="1D83E2B3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0AB6AA9B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6B428B80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5EB0522B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65AE5406">
      <w:pPr>
        <w:bidi w:val="0"/>
        <w:rPr>
          <w:rFonts w:hint="default" w:ascii="Times New Roman" w:hAnsi="Times New Roman" w:cs="Times New Roman"/>
          <w:lang w:val="en-US" w:eastAsia="zh-CN"/>
        </w:rPr>
      </w:pPr>
      <w:bookmarkStart w:id="1" w:name="_GoBack"/>
      <w:bookmarkEnd w:id="1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046C76">
    <w:pPr>
      <w:pStyle w:val="3"/>
      <w:ind w:firstLine="360" w:firstLineChars="200"/>
      <w:jc w:val="both"/>
      <w:rPr>
        <w:rFonts w:ascii="Times New Roman" w:hAnsi="Times New Roman"/>
      </w:rPr>
    </w:pPr>
    <w:r>
      <w:rPr>
        <w:rFonts w:hint="eastAsia"/>
        <w:lang w:val="en-US" w:eastAsia="zh-CN"/>
      </w:rPr>
      <w:tab/>
    </w:r>
    <w:r>
      <w:rPr>
        <w:rFonts w:ascii="Times New Roman" w:hAnsi="Times New Roman"/>
      </w:rPr>
      <w:drawing>
        <wp:inline distT="0" distB="0" distL="0" distR="0">
          <wp:extent cx="144780" cy="144145"/>
          <wp:effectExtent l="0" t="0" r="7620" b="8255"/>
          <wp:docPr id="2118917014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8917014" name="图片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3591" cy="152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Times New Roman" w:hAnsi="Times New Roman"/>
        <w:lang w:val="en-US" w:eastAsia="zh-CN"/>
      </w:rPr>
      <w:t xml:space="preserve"> </w:t>
    </w:r>
    <w:r>
      <w:rPr>
        <w:rFonts w:ascii="Times New Roman" w:hAnsi="Times New Roman"/>
      </w:rPr>
      <w:t>No. 866 Moganshan Rd., Hangzhou, China</w:t>
    </w:r>
    <w:r>
      <w:rPr>
        <w:rFonts w:hint="eastAsia" w:ascii="Times New Roman" w:hAnsi="Times New Roman"/>
        <w:lang w:val="en-US" w:eastAsia="zh-CN"/>
      </w:rPr>
      <w:t xml:space="preserve"> </w:t>
    </w:r>
    <w:r>
      <w:rPr>
        <w:rFonts w:ascii="Times New Roman" w:hAnsi="Times New Roman"/>
      </w:rPr>
      <w:drawing>
        <wp:inline distT="0" distB="0" distL="0" distR="0">
          <wp:extent cx="131445" cy="132715"/>
          <wp:effectExtent l="0" t="0" r="8255" b="6985"/>
          <wp:docPr id="973350913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3350913" name="图片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41" t="8884" r="9736" b="9867"/>
                  <a:stretch>
                    <a:fillRect/>
                  </a:stretch>
                </pic:blipFill>
                <pic:spPr>
                  <a:xfrm>
                    <a:off x="0" y="0"/>
                    <a:ext cx="160957" cy="162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400-866- 2586 </w:t>
    </w:r>
  </w:p>
  <w:p w14:paraId="6FC15D87">
    <w:pPr>
      <w:pStyle w:val="3"/>
      <w:ind w:firstLine="1620" w:firstLineChars="900"/>
      <w:jc w:val="both"/>
    </w:pP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drawing>
        <wp:inline distT="0" distB="0" distL="0" distR="0">
          <wp:extent cx="140970" cy="100330"/>
          <wp:effectExtent l="0" t="0" r="11430" b="1270"/>
          <wp:docPr id="1635863554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5863554" name="图片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73" t="5389" r="2877" b="9794"/>
                  <a:stretch>
                    <a:fillRect/>
                  </a:stretch>
                </pic:blipFill>
                <pic:spPr>
                  <a:xfrm>
                    <a:off x="0" y="0"/>
                    <a:ext cx="157846" cy="1124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Sales@PerfectmRNA.com  </w:t>
    </w:r>
    <w:r>
      <w:drawing>
        <wp:inline distT="0" distB="0" distL="0" distR="0">
          <wp:extent cx="130810" cy="130810"/>
          <wp:effectExtent l="0" t="0" r="8890" b="8890"/>
          <wp:docPr id="1833469089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3469089" name="图片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882" cy="1448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http://www.PerfectmRNA.com</w:t>
    </w:r>
  </w:p>
  <w:p w14:paraId="40BA77D8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2DD7CA">
    <w:pPr>
      <w:pStyle w:val="4"/>
      <w:rPr>
        <w:rFonts w:hint="default" w:ascii="仿宋_GB2312" w:eastAsia="仿宋_GB2312" w:cs="仿宋_GB2312"/>
        <w:sz w:val="21"/>
        <w:szCs w:val="21"/>
        <w:lang w:val="en-US" w:eastAsia="zh-CN"/>
      </w:rPr>
    </w:pPr>
    <w:r>
      <w:rPr>
        <w:rFonts w:ascii="仿宋_GB2312" w:eastAsia="仿宋_GB2312" w:cs="仿宋_GB2312"/>
        <w:sz w:val="28"/>
        <w:szCs w:val="28"/>
        <w:lang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134620</wp:posOffset>
          </wp:positionH>
          <wp:positionV relativeFrom="paragraph">
            <wp:posOffset>635</wp:posOffset>
          </wp:positionV>
          <wp:extent cx="1091565" cy="370840"/>
          <wp:effectExtent l="0" t="0" r="635" b="10160"/>
          <wp:wrapTight wrapText="bothSides">
            <wp:wrapPolygon>
              <wp:start x="0" y="0"/>
              <wp:lineTo x="0" y="20712"/>
              <wp:lineTo x="21361" y="20712"/>
              <wp:lineTo x="21361" y="0"/>
              <wp:lineTo x="0" y="0"/>
            </wp:wrapPolygon>
          </wp:wrapTight>
          <wp:docPr id="3" name="图片 1" descr="公司logo-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 descr="公司logo-new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1565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lang w:val="en-US" w:eastAsia="zh-CN"/>
      </w:rPr>
      <w:t xml:space="preserve">                                                               </w:t>
    </w:r>
    <w:r>
      <w:rPr>
        <w:rFonts w:hint="eastAsia" w:ascii="仿宋_GB2312" w:hAnsi="Times New Roman" w:eastAsia="仿宋_GB2312" w:cs="仿宋_GB2312"/>
        <w:sz w:val="21"/>
        <w:szCs w:val="21"/>
        <w:lang w:eastAsia="zh-CN"/>
      </w:rPr>
      <w:t>杭州珲</w:t>
    </w:r>
    <w:r>
      <w:rPr>
        <w:rFonts w:hint="eastAsia" w:ascii="仿宋_GB2312" w:eastAsia="仿宋_GB2312" w:cs="仿宋_GB2312"/>
        <w:sz w:val="21"/>
        <w:szCs w:val="21"/>
        <w:lang w:eastAsia="zh-CN"/>
      </w:rPr>
      <w:t>信生物科技有限</w:t>
    </w:r>
    <w:r>
      <w:rPr>
        <w:rFonts w:hint="eastAsia" w:ascii="仿宋_GB2312" w:eastAsia="仿宋_GB2312" w:cs="仿宋_GB2312"/>
        <w:sz w:val="21"/>
        <w:szCs w:val="21"/>
        <w:lang w:val="en-US" w:eastAsia="zh-CN"/>
      </w:rPr>
      <w:t>公司</w:t>
    </w:r>
  </w:p>
  <w:p w14:paraId="53ABD262">
    <w:pPr>
      <w:pStyle w:val="4"/>
      <w:ind w:firstLine="3990" w:firstLineChars="1900"/>
      <w:rPr>
        <w:rFonts w:hint="default"/>
        <w:lang w:val="en-US"/>
      </w:rPr>
    </w:pPr>
    <w:r>
      <w:rPr>
        <w:rFonts w:ascii="Times New Roman" w:hAnsi="Times New Roman" w:eastAsia="仿宋_GB2312" w:cs="Times New Roman"/>
        <w:sz w:val="21"/>
        <w:szCs w:val="21"/>
        <w:lang w:eastAsia="zh-CN"/>
      </w:rPr>
      <w:t xml:space="preserve">Hangzhou Perfect mRNA Biotechnology Co., Ltd.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3B9219"/>
    <w:multiLevelType w:val="singleLevel"/>
    <w:tmpl w:val="903B921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1D886F5F"/>
    <w:multiLevelType w:val="singleLevel"/>
    <w:tmpl w:val="1D886F5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iYWU2OTFiM2M1NzRmMzUwOTExMzdiNmVlOWVmY2YifQ=="/>
  </w:docVars>
  <w:rsids>
    <w:rsidRoot w:val="00000000"/>
    <w:rsid w:val="01101675"/>
    <w:rsid w:val="02686FDB"/>
    <w:rsid w:val="032965E3"/>
    <w:rsid w:val="066535A6"/>
    <w:rsid w:val="07A309B0"/>
    <w:rsid w:val="07BA233A"/>
    <w:rsid w:val="08940DDD"/>
    <w:rsid w:val="099E3CC2"/>
    <w:rsid w:val="0BA457DB"/>
    <w:rsid w:val="0E18347D"/>
    <w:rsid w:val="0E1B3297"/>
    <w:rsid w:val="0E605326"/>
    <w:rsid w:val="0E6A2D0C"/>
    <w:rsid w:val="0E8A68C3"/>
    <w:rsid w:val="0E9953A0"/>
    <w:rsid w:val="0F0767AD"/>
    <w:rsid w:val="0F8C278D"/>
    <w:rsid w:val="10B85FB1"/>
    <w:rsid w:val="113066C1"/>
    <w:rsid w:val="11DA1F57"/>
    <w:rsid w:val="12EE3E5B"/>
    <w:rsid w:val="13B0325D"/>
    <w:rsid w:val="154E31D5"/>
    <w:rsid w:val="1E20616F"/>
    <w:rsid w:val="1F093E7B"/>
    <w:rsid w:val="1F29007A"/>
    <w:rsid w:val="1FB64C73"/>
    <w:rsid w:val="23571659"/>
    <w:rsid w:val="24C04FDC"/>
    <w:rsid w:val="25072C0B"/>
    <w:rsid w:val="25C2499F"/>
    <w:rsid w:val="26AF355A"/>
    <w:rsid w:val="28522B8D"/>
    <w:rsid w:val="293B10D5"/>
    <w:rsid w:val="2A110088"/>
    <w:rsid w:val="2A44045E"/>
    <w:rsid w:val="2BE07D12"/>
    <w:rsid w:val="2BEC2335"/>
    <w:rsid w:val="2C3B0094"/>
    <w:rsid w:val="2CE7345E"/>
    <w:rsid w:val="2D39592C"/>
    <w:rsid w:val="2E422F06"/>
    <w:rsid w:val="331035D3"/>
    <w:rsid w:val="332E3A59"/>
    <w:rsid w:val="33D26ADA"/>
    <w:rsid w:val="35044A71"/>
    <w:rsid w:val="351F7AFD"/>
    <w:rsid w:val="355A28E3"/>
    <w:rsid w:val="35D501BC"/>
    <w:rsid w:val="388D4D7E"/>
    <w:rsid w:val="391F6666"/>
    <w:rsid w:val="39E032BD"/>
    <w:rsid w:val="3A6366DE"/>
    <w:rsid w:val="3AEA295B"/>
    <w:rsid w:val="3C7C75E3"/>
    <w:rsid w:val="3F211E87"/>
    <w:rsid w:val="4024421A"/>
    <w:rsid w:val="45AF4585"/>
    <w:rsid w:val="46F5246C"/>
    <w:rsid w:val="489D335A"/>
    <w:rsid w:val="48A506C9"/>
    <w:rsid w:val="4A5D4EF8"/>
    <w:rsid w:val="4AFD5D93"/>
    <w:rsid w:val="4B694A19"/>
    <w:rsid w:val="4BBA1ED6"/>
    <w:rsid w:val="4C0D2006"/>
    <w:rsid w:val="4D1A1305"/>
    <w:rsid w:val="4DA367B2"/>
    <w:rsid w:val="4F351F9F"/>
    <w:rsid w:val="4FB01626"/>
    <w:rsid w:val="4FF57980"/>
    <w:rsid w:val="504838F0"/>
    <w:rsid w:val="50A82E4A"/>
    <w:rsid w:val="50F11B59"/>
    <w:rsid w:val="513D15DF"/>
    <w:rsid w:val="52BC7A8F"/>
    <w:rsid w:val="54B90E10"/>
    <w:rsid w:val="550F6DEF"/>
    <w:rsid w:val="56D368BE"/>
    <w:rsid w:val="5726041F"/>
    <w:rsid w:val="577F2A3B"/>
    <w:rsid w:val="57FA1FD8"/>
    <w:rsid w:val="5A353A23"/>
    <w:rsid w:val="5D706898"/>
    <w:rsid w:val="5EBB1D95"/>
    <w:rsid w:val="5FC30F01"/>
    <w:rsid w:val="60163327"/>
    <w:rsid w:val="610417D1"/>
    <w:rsid w:val="61811074"/>
    <w:rsid w:val="61C62F2B"/>
    <w:rsid w:val="6269433C"/>
    <w:rsid w:val="63BE65AF"/>
    <w:rsid w:val="658F2F88"/>
    <w:rsid w:val="659770B8"/>
    <w:rsid w:val="665F74AA"/>
    <w:rsid w:val="66C73E62"/>
    <w:rsid w:val="68570D81"/>
    <w:rsid w:val="69410F49"/>
    <w:rsid w:val="69E2467A"/>
    <w:rsid w:val="6A026ACA"/>
    <w:rsid w:val="6BD66B78"/>
    <w:rsid w:val="6C872706"/>
    <w:rsid w:val="6C937EAD"/>
    <w:rsid w:val="6F1D650D"/>
    <w:rsid w:val="713030BF"/>
    <w:rsid w:val="755A0A19"/>
    <w:rsid w:val="75B91E9A"/>
    <w:rsid w:val="7923576A"/>
    <w:rsid w:val="7B851309"/>
    <w:rsid w:val="7EBA751C"/>
    <w:rsid w:val="7EED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4" Type="http://schemas.openxmlformats.org/officeDocument/2006/relationships/image" Target="media/image5.jpeg"/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459</Words>
  <Characters>766</Characters>
  <Lines>0</Lines>
  <Paragraphs>0</Paragraphs>
  <TotalTime>0</TotalTime>
  <ScaleCrop>false</ScaleCrop>
  <LinksUpToDate>false</LinksUpToDate>
  <CharactersWithSpaces>813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2023-07-12T01:06:00Z</dcterms:created>
  <dc:creator>admin</dc:creator>
  <cp:lastModifiedBy>凯文</cp:lastModifiedBy>
  <dcterms:modified xsi:type="dcterms:W3CDTF">2025-03-05T05:01:08Z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32831CADFC65467D88A1FE6D2EDBBB07_13</vt:lpwstr>
  </property>
  <property fmtid="{D5CDD505-2E9C-101B-9397-08002B2CF9AE}" pid="4" name="KSOTemplateDocerSaveRecord">
    <vt:lpwstr>eyJoZGlkIjoiMGRiNDM1N2U1MjIyNTc3MThmYjgzYzE0OWU1NGUxYjYiLCJ1c2VySWQiOiIzNDMyNzc1NzAifQ==</vt:lpwstr>
  </property>
</Properties>
</file>