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81A24">
      <w:pPr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52982765">
      <w:pPr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Cre mRNA产品说明书</w:t>
      </w:r>
    </w:p>
    <w:p w14:paraId="10C2BA83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64AB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107FD0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57A8460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350C3B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7C6E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100BCB1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Cre-eGFP mRNA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C0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R111A01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5C8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 μg</w:t>
            </w:r>
          </w:p>
        </w:tc>
      </w:tr>
      <w:tr w14:paraId="326C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4674D5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8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R111A02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mg</w:t>
            </w:r>
          </w:p>
        </w:tc>
      </w:tr>
      <w:tr w14:paraId="44F5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328185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1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R111A03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mg</w:t>
            </w:r>
          </w:p>
        </w:tc>
      </w:tr>
      <w:tr w14:paraId="0EA5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0EC4A0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D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R111A04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A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mg</w:t>
            </w:r>
          </w:p>
        </w:tc>
      </w:tr>
    </w:tbl>
    <w:p w14:paraId="651FCC3B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39D58BB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5986DA92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Cre重组酶（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lang w:val="en-US" w:eastAsia="zh-CN"/>
        </w:rPr>
        <w:t>Cyclization Recombinase）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是一种源自P1噬菌体的343个氨基酸组成的蛋白质，它属于酪氨酸位点特异性重组酶家族的一员，能够催化DNA上特定识别序列之间的重组反应1。Cre重组酶可以与DNA上的loxP位点结合，并在这些位点之间执行精确的切割和连接操作，从而导致DNA片段的删除、反转或易位。</w:t>
      </w:r>
    </w:p>
    <w:p w14:paraId="03060025">
      <w:pPr>
        <w:ind w:firstLine="420" w:firstLineChars="20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本产品模拟了具有5’Cap 1结构和3’poly(A)尾巴的成熟mRNA，能在体内、体外高效表达。此外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，Cre-eGFP mRNA 编码带有N和C末端核定位信号（NLS）的Cre蛋白，在 mRNA 中引入两个 NLS 信号可以增加其递送到细胞核的频率，从而提高DNA编辑效率。</w:t>
      </w:r>
    </w:p>
    <w:p w14:paraId="6CC1E41B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为了确定Cre-eGFP mRNA转染后表达正常，本产品在3’端用P2T linker串联了eGFP序列。</w:t>
      </w:r>
    </w:p>
    <w:p w14:paraId="30B2DCC2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0A2E9BC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4F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96CA74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产品浓度</w:t>
            </w:r>
          </w:p>
        </w:tc>
        <w:tc>
          <w:tcPr>
            <w:tcW w:w="4261" w:type="dxa"/>
          </w:tcPr>
          <w:p w14:paraId="7E62BEE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1mg/mL</w:t>
            </w:r>
          </w:p>
        </w:tc>
      </w:tr>
      <w:tr w14:paraId="70C6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8A6FE8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储存溶液</w:t>
            </w:r>
          </w:p>
        </w:tc>
        <w:tc>
          <w:tcPr>
            <w:tcW w:w="4261" w:type="dxa"/>
          </w:tcPr>
          <w:p w14:paraId="59072C8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 mM 柠檬酸钠，pH6.5</w:t>
            </w:r>
          </w:p>
        </w:tc>
      </w:tr>
      <w:tr w14:paraId="1F47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833E74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mRNA 序列全长</w:t>
            </w:r>
          </w:p>
        </w:tc>
        <w:tc>
          <w:tcPr>
            <w:tcW w:w="4261" w:type="dxa"/>
          </w:tcPr>
          <w:p w14:paraId="5357BAB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2234nt</w:t>
            </w:r>
          </w:p>
        </w:tc>
      </w:tr>
      <w:tr w14:paraId="6749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4D423B4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完整性</w:t>
            </w:r>
          </w:p>
        </w:tc>
        <w:tc>
          <w:tcPr>
            <w:tcW w:w="4261" w:type="dxa"/>
          </w:tcPr>
          <w:p w14:paraId="728801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 xml:space="preserve">≥ 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</w:tr>
      <w:tr w14:paraId="30EE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1335D61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产品纯度</w:t>
            </w:r>
          </w:p>
        </w:tc>
        <w:tc>
          <w:tcPr>
            <w:tcW w:w="4261" w:type="dxa"/>
            <w:vAlign w:val="top"/>
          </w:tcPr>
          <w:p w14:paraId="013AD0CF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mRNA电泳条带单一</w:t>
            </w:r>
          </w:p>
        </w:tc>
      </w:tr>
      <w:tr w14:paraId="1D4B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3D8546E1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转染效率</w:t>
            </w:r>
          </w:p>
        </w:tc>
        <w:tc>
          <w:tcPr>
            <w:tcW w:w="4261" w:type="dxa"/>
            <w:vAlign w:val="top"/>
          </w:tcPr>
          <w:p w14:paraId="2BD37A60">
            <w:pPr>
              <w:jc w:val="center"/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293T细胞转染</w:t>
            </w:r>
          </w:p>
        </w:tc>
      </w:tr>
    </w:tbl>
    <w:p w14:paraId="2E771807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E5BF50E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1FAEC4EC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本产品随干冰运输，可在-15℃~ -25℃保存两年。</w:t>
      </w:r>
    </w:p>
    <w:p w14:paraId="4F07BEC6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93606A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0D3AC195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使用过程</w:t>
      </w:r>
      <w:r>
        <w:rPr>
          <w:rFonts w:hint="default" w:ascii="Times New Roman" w:hAnsi="Times New Roman" w:eastAsia="宋体" w:cs="Times New Roman"/>
          <w:sz w:val="21"/>
          <w:szCs w:val="21"/>
        </w:rPr>
        <w:t>小心防止RNase污染降解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使用完毕后宜立即置于-20ºC保存。  </w:t>
      </w:r>
    </w:p>
    <w:p w14:paraId="2D877A15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本产品仅限科学研究用，不得用于临床诊断或治疗，不得用于食品或药品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29FFBAB2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7C461ED0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CD07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400-866-2586 </w:t>
    </w:r>
  </w:p>
  <w:p w14:paraId="6800E91C">
    <w:pPr>
      <w:pStyle w:val="2"/>
      <w:ind w:firstLine="360" w:firstLineChars="200"/>
      <w:jc w:val="center"/>
    </w:pPr>
    <w:r>
      <w:rPr>
        <w:rFonts w:ascii="Times New Roman" w:hAnsi="Times New Roman"/>
      </w:rPr>
      <w:t xml:space="preserve"> 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74BF">
    <w:pPr>
      <w:pStyle w:val="3"/>
      <w:rPr>
        <w:rFonts w:hint="eastAsia" w:ascii="仿宋_GB2312" w:eastAsia="仿宋_GB2312" w:cs="仿宋_GB2312"/>
        <w:sz w:val="21"/>
        <w:szCs w:val="21"/>
        <w:lang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</w:t>
    </w:r>
    <w:r>
      <w:rPr>
        <w:rFonts w:hint="eastAsia" w:ascii="仿宋_GB2312" w:eastAsia="仿宋_GB2312" w:cs="仿宋_GB2312"/>
        <w:sz w:val="28"/>
        <w:szCs w:val="28"/>
        <w:lang w:eastAsia="zh-CN"/>
      </w:rPr>
      <w:t xml:space="preserve">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</w:p>
  <w:p w14:paraId="31C46456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2734614"/>
    <w:rsid w:val="0F0D75F5"/>
    <w:rsid w:val="1E2B2A05"/>
    <w:rsid w:val="241015D2"/>
    <w:rsid w:val="3B226DCD"/>
    <w:rsid w:val="41182E63"/>
    <w:rsid w:val="435C7492"/>
    <w:rsid w:val="43A00BCD"/>
    <w:rsid w:val="569D04EC"/>
    <w:rsid w:val="593B2571"/>
    <w:rsid w:val="5E705050"/>
    <w:rsid w:val="6F333DDB"/>
    <w:rsid w:val="6FAD614D"/>
    <w:rsid w:val="73F7381A"/>
    <w:rsid w:val="75B91E9A"/>
    <w:rsid w:val="79503066"/>
    <w:rsid w:val="7D3014EE"/>
    <w:rsid w:val="7F19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690</Characters>
  <Lines>0</Lines>
  <Paragraphs>0</Paragraphs>
  <TotalTime>0</TotalTime>
  <ScaleCrop>false</ScaleCrop>
  <LinksUpToDate>false</LinksUpToDate>
  <CharactersWithSpaces>717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2025-03-06T13:27:10Z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7D41D131FD4A4E82947B11835564F4C8_13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