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81A24">
      <w:pPr>
        <w:rPr>
          <w:rFonts w:hint="default" w:ascii="Times New Roman" w:hAnsi="Times New Roman" w:cs="Times New Roman"/>
          <w:sz w:val="21"/>
          <w:szCs w:val="21"/>
        </w:rPr>
      </w:pPr>
    </w:p>
    <w:p w14:paraId="52982765">
      <w:pPr>
        <w:jc w:val="center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eGFP mRNA(N1-Me-pUTP)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10C2BA83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4ABF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07FD08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57A8460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350C3BB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7C6E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100BCB1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eGFP mRNA(N1-Me-pUTP)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5C0D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R101B01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C8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μL</w:t>
            </w:r>
          </w:p>
        </w:tc>
      </w:tr>
      <w:tr w14:paraId="326C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674D559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8A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R101B02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24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μL</w:t>
            </w:r>
          </w:p>
        </w:tc>
      </w:tr>
      <w:tr w14:paraId="44F5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3281857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15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R101B03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B1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  <w:tr w14:paraId="0EA5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0EC4A06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9BD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R101B04</w:t>
            </w:r>
          </w:p>
        </w:tc>
        <w:tc>
          <w:tcPr>
            <w:tcW w:w="17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DA0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mg</w:t>
            </w:r>
          </w:p>
        </w:tc>
      </w:tr>
    </w:tbl>
    <w:p w14:paraId="6C428FB7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39D58BB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0306002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eGFP mRNA（enhanced Green Fluorescent Protein）编码一种绿色荧光蛋白，该蛋白从水母（Aequorea victoria）中分离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其最大激发/发射光波长分别为488nm /509nm，转染到细胞中可表达出增强的绿色荧光，可作为对照研究靶基因在哺乳动物细胞中的转染和表达。本产品通过引入N1-Me-Pseudo UTP替换天然UTP，降低mRNA在哺乳动物细胞中的免疫原性，增强mRNA的稳定性。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同时，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还是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模拟具有5’Cap 1结构和3’poly(A)尾巴的成熟mRNA，是使用各种测定法研究转染和表达的理想选择。。</w:t>
      </w:r>
    </w:p>
    <w:p w14:paraId="30B2DCC2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10A2E9BC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C4F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96CA74A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产品浓度</w:t>
            </w:r>
          </w:p>
        </w:tc>
        <w:tc>
          <w:tcPr>
            <w:tcW w:w="4261" w:type="dxa"/>
          </w:tcPr>
          <w:p w14:paraId="7E62BEE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1mg/mL</w:t>
            </w:r>
          </w:p>
        </w:tc>
      </w:tr>
      <w:tr w14:paraId="70C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8A6FE85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储存溶液</w:t>
            </w:r>
          </w:p>
        </w:tc>
        <w:tc>
          <w:tcPr>
            <w:tcW w:w="4261" w:type="dxa"/>
          </w:tcPr>
          <w:p w14:paraId="59072C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 mM 柠檬酸钠，pH6.5</w:t>
            </w:r>
          </w:p>
        </w:tc>
      </w:tr>
      <w:tr w14:paraId="1F47F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833E74C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mRNA 序列全长</w:t>
            </w:r>
          </w:p>
        </w:tc>
        <w:tc>
          <w:tcPr>
            <w:tcW w:w="4261" w:type="dxa"/>
          </w:tcPr>
          <w:p w14:paraId="5357BAB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1073nt</w:t>
            </w:r>
          </w:p>
        </w:tc>
      </w:tr>
      <w:tr w14:paraId="6749F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4D423B4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完整性</w:t>
            </w:r>
          </w:p>
        </w:tc>
        <w:tc>
          <w:tcPr>
            <w:tcW w:w="4261" w:type="dxa"/>
          </w:tcPr>
          <w:p w14:paraId="7288011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 xml:space="preserve">≥ </w:t>
            </w: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</w:tr>
      <w:tr w14:paraId="30EE8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1335D61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产品纯度</w:t>
            </w:r>
          </w:p>
        </w:tc>
        <w:tc>
          <w:tcPr>
            <w:tcW w:w="4261" w:type="dxa"/>
            <w:vAlign w:val="top"/>
          </w:tcPr>
          <w:p w14:paraId="013AD0CF">
            <w:pPr>
              <w:jc w:val="center"/>
              <w:rPr>
                <w:rFonts w:hint="default" w:ascii="Times New Roman" w:hAnsi="Times New Roman" w:cs="Times New Roman" w:eastAsiaTheme="minor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mRNA电泳条带单一</w:t>
            </w:r>
          </w:p>
        </w:tc>
      </w:tr>
      <w:tr w14:paraId="6FA19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top"/>
          </w:tcPr>
          <w:p w14:paraId="7E7C916E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转染效率</w:t>
            </w:r>
          </w:p>
        </w:tc>
        <w:tc>
          <w:tcPr>
            <w:tcW w:w="4261" w:type="dxa"/>
            <w:vAlign w:val="top"/>
          </w:tcPr>
          <w:p w14:paraId="0DC0718E">
            <w:pPr>
              <w:jc w:val="center"/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293T细胞转染</w:t>
            </w:r>
          </w:p>
        </w:tc>
      </w:tr>
    </w:tbl>
    <w:p w14:paraId="37C96D48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C37E665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产品应用</w:t>
      </w:r>
    </w:p>
    <w:p w14:paraId="19493C2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eGFP-mRNA作为报告mRNA，是监测和优化转染效率的理想选择。</w:t>
      </w:r>
    </w:p>
    <w:p w14:paraId="06878032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对照品：良好的转染对照品；</w:t>
      </w:r>
    </w:p>
    <w:p w14:paraId="7E2244F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指示剂：可以和目的序列融合，直观的观察目的蛋白是否表达成功；</w:t>
      </w:r>
    </w:p>
    <w:p w14:paraId="6E94D3EE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药物递送：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GFP mRNA可以用于评估药物递送系统的效果；</w:t>
      </w:r>
    </w:p>
    <w:p w14:paraId="0CCDC49A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体内成像：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GFP mRNA也用于体内成像研究。</w:t>
      </w:r>
    </w:p>
    <w:p w14:paraId="46E1C75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E5BF50E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1FAEC4EC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本产品随干冰运输，可在-15℃~ -25℃保存两年。</w:t>
      </w:r>
    </w:p>
    <w:p w14:paraId="29F23EC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6CDF1C7A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bookmarkStart w:id="0" w:name="_GoBack"/>
      <w:bookmarkEnd w:id="0"/>
    </w:p>
    <w:p w14:paraId="5A1539C9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093606A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0D3AC19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使用过程</w:t>
      </w:r>
      <w:r>
        <w:rPr>
          <w:rFonts w:hint="default" w:ascii="Times New Roman" w:hAnsi="Times New Roman" w:eastAsia="宋体" w:cs="Times New Roman"/>
          <w:sz w:val="21"/>
          <w:szCs w:val="21"/>
        </w:rPr>
        <w:t>小心防止RNase污染降解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使用完毕后宜立即置于-20ºC保存。  </w:t>
      </w:r>
    </w:p>
    <w:p w14:paraId="2D877A15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本产品仅限科学研究用，不得用于临床诊断或治疗，不得用于食品或药品</w:t>
      </w:r>
      <w:r>
        <w:rPr>
          <w:rFonts w:hint="default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29FFBAB2">
      <w:pPr>
        <w:numPr>
          <w:ilvl w:val="0"/>
          <w:numId w:val="2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7C461ED0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2ACD07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211891701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917014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No. 866 Moganshan Rd., Hangzhou, China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400-866-2586 </w:t>
    </w:r>
  </w:p>
  <w:p w14:paraId="6800E91C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674BF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31C46456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5415FF"/>
    <w:multiLevelType w:val="singleLevel"/>
    <w:tmpl w:val="875415F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E80661"/>
    <w:rsid w:val="09772BD9"/>
    <w:rsid w:val="160578D1"/>
    <w:rsid w:val="179B5788"/>
    <w:rsid w:val="1D4E0CFB"/>
    <w:rsid w:val="1E2B2A05"/>
    <w:rsid w:val="2AEC41D7"/>
    <w:rsid w:val="2BC54395"/>
    <w:rsid w:val="41182E63"/>
    <w:rsid w:val="44174E49"/>
    <w:rsid w:val="44D82202"/>
    <w:rsid w:val="5E705050"/>
    <w:rsid w:val="660404C6"/>
    <w:rsid w:val="75B91E9A"/>
    <w:rsid w:val="7D3014EE"/>
    <w:rsid w:val="7F1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518</Words>
  <Characters>769</Characters>
  <Lines>0</Lines>
  <Paragraphs>0</Paragraphs>
  <TotalTime>0</TotalTime>
  <ScaleCrop>false</ScaleCrop>
  <LinksUpToDate>false</LinksUpToDate>
  <CharactersWithSpaces>795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2025-03-06T13:28:12Z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46281CE010A140A981A914FC1F2F057C_13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