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76C0C">
      <w:pPr>
        <w:rPr>
          <w:rFonts w:ascii="Times New Roman" w:hAnsi="Times New Roman" w:cs="Times New Roman"/>
          <w:szCs w:val="21"/>
        </w:rPr>
      </w:pPr>
    </w:p>
    <w:p w14:paraId="021ADDBE">
      <w:pPr>
        <w:jc w:val="center"/>
        <w:rPr>
          <w:rFonts w:ascii="Times New Roman" w:hAnsi="Times New Roman" w:cs="Times New Roman" w:eastAsiaTheme="minorEastAsia"/>
          <w:sz w:val="22"/>
          <w:szCs w:val="22"/>
        </w:rPr>
      </w:pPr>
      <w:r>
        <w:rPr>
          <w:rFonts w:hint="default" w:ascii="Times New Roman" w:hAnsi="Times New Roman" w:cs="Times New Roman"/>
          <w:b/>
          <w:kern w:val="0"/>
          <w:sz w:val="32"/>
          <w:szCs w:val="32"/>
          <w:lang w:val="en-US" w:eastAsia="zh-CN"/>
        </w:rPr>
        <w:t>T7 RNA Polymerase（low dsRNA）</w:t>
      </w:r>
      <w:r>
        <w:rPr>
          <w:rFonts w:hint="default" w:ascii="Times New Roman" w:hAnsi="Times New Roman" w:cs="Times New Roman"/>
          <w:b/>
          <w:kern w:val="0"/>
          <w:sz w:val="32"/>
          <w:szCs w:val="32"/>
        </w:rPr>
        <w:t>产品说明书</w:t>
      </w:r>
    </w:p>
    <w:p w14:paraId="14FBBFDC">
      <w:pPr>
        <w:jc w:val="left"/>
        <w:rPr>
          <w:rFonts w:ascii="Times New Roman" w:hAnsi="Times New Roman" w:cs="Times New Roman" w:eastAsiaTheme="minorEastAsia"/>
          <w:b/>
          <w:bCs/>
          <w:sz w:val="24"/>
        </w:rPr>
      </w:pPr>
      <w:r>
        <w:rPr>
          <w:rFonts w:ascii="Times New Roman" w:hAnsi="Times New Roman" w:cs="Times New Roman" w:eastAsiaTheme="minorEastAsia"/>
          <w:b/>
          <w:bCs/>
          <w:sz w:val="24"/>
        </w:rPr>
        <w:t>产品信息</w:t>
      </w:r>
    </w:p>
    <w:p w14:paraId="4AF85BAE">
      <w:pPr>
        <w:jc w:val="left"/>
        <w:rPr>
          <w:rFonts w:ascii="Times New Roman" w:hAnsi="Times New Roman" w:cs="Times New Roman" w:eastAsiaTheme="minorEastAsia"/>
          <w:b/>
          <w:bCs/>
          <w:sz w:val="2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1"/>
        <w:gridCol w:w="1830"/>
        <w:gridCol w:w="1791"/>
      </w:tblGrid>
      <w:tr w14:paraId="49530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1" w:type="dxa"/>
            <w:tcBorders>
              <w:left w:val="nil"/>
              <w:bottom w:val="single" w:color="auto" w:sz="4" w:space="0"/>
              <w:right w:val="nil"/>
            </w:tcBorders>
          </w:tcPr>
          <w:p w14:paraId="513B0EEE">
            <w:pPr>
              <w:jc w:val="center"/>
              <w:rPr>
                <w:rFonts w:ascii="Times New Roman" w:hAnsi="Times New Roman" w:cs="Times New Roman" w:eastAsiaTheme="minorEastAsia"/>
                <w:szCs w:val="21"/>
              </w:rPr>
            </w:pPr>
            <w:r>
              <w:rPr>
                <w:rFonts w:ascii="Times New Roman" w:hAnsi="Times New Roman" w:cs="Times New Roman" w:eastAsiaTheme="minorEastAsia"/>
                <w:szCs w:val="21"/>
              </w:rPr>
              <w:t>产品名称</w:t>
            </w:r>
          </w:p>
        </w:tc>
        <w:tc>
          <w:tcPr>
            <w:tcW w:w="1830" w:type="dxa"/>
            <w:tcBorders>
              <w:left w:val="nil"/>
              <w:bottom w:val="single" w:color="auto" w:sz="4" w:space="0"/>
              <w:right w:val="nil"/>
            </w:tcBorders>
          </w:tcPr>
          <w:p w14:paraId="7709819E">
            <w:pPr>
              <w:jc w:val="center"/>
              <w:rPr>
                <w:rFonts w:ascii="Times New Roman" w:hAnsi="Times New Roman" w:cs="Times New Roman" w:eastAsiaTheme="minorEastAsia"/>
                <w:szCs w:val="21"/>
              </w:rPr>
            </w:pPr>
            <w:r>
              <w:rPr>
                <w:rFonts w:ascii="Times New Roman" w:hAnsi="Times New Roman" w:cs="Times New Roman" w:eastAsiaTheme="minorEastAsia"/>
                <w:szCs w:val="21"/>
              </w:rPr>
              <w:t>Cat#</w:t>
            </w:r>
          </w:p>
        </w:tc>
        <w:tc>
          <w:tcPr>
            <w:tcW w:w="1791" w:type="dxa"/>
            <w:tcBorders>
              <w:left w:val="nil"/>
              <w:bottom w:val="single" w:color="auto" w:sz="4" w:space="0"/>
              <w:right w:val="nil"/>
            </w:tcBorders>
          </w:tcPr>
          <w:p w14:paraId="1B3A2167">
            <w:pPr>
              <w:jc w:val="center"/>
              <w:rPr>
                <w:rFonts w:ascii="Times New Roman" w:hAnsi="Times New Roman" w:cs="Times New Roman" w:eastAsiaTheme="minorEastAsia"/>
                <w:szCs w:val="21"/>
              </w:rPr>
            </w:pPr>
            <w:r>
              <w:rPr>
                <w:rFonts w:ascii="Times New Roman" w:hAnsi="Times New Roman" w:cs="Times New Roman" w:eastAsiaTheme="minorEastAsia"/>
                <w:szCs w:val="21"/>
              </w:rPr>
              <w:t>规格</w:t>
            </w:r>
          </w:p>
        </w:tc>
      </w:tr>
      <w:tr w14:paraId="78798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1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38860261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bCs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  <w:t>T7 RNA Polymerase（low dsRNA）, 200U/</w:t>
            </w:r>
            <w:r>
              <w:rPr>
                <w:rFonts w:hint="default" w:ascii="Times New Roman" w:hAnsi="Times New Roman" w:cs="Times New Roman"/>
                <w:b w:val="0"/>
                <w:bCs/>
                <w:kern w:val="2"/>
                <w:sz w:val="28"/>
                <w:szCs w:val="28"/>
                <w:lang w:val="en-US" w:eastAsia="zh-CN"/>
              </w:rPr>
              <w:t>μL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F900094">
            <w:pPr>
              <w:jc w:val="center"/>
              <w:rPr>
                <w:rFonts w:ascii="Times New Roman" w:hAnsi="Times New Roman" w:cs="Times New Roman" w:eastAsiaTheme="minorEastAsia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</w:rPr>
              <w:t>M122A01</w:t>
            </w:r>
          </w:p>
        </w:tc>
        <w:tc>
          <w:tcPr>
            <w:tcW w:w="179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5D5BBFE">
            <w:pPr>
              <w:jc w:val="center"/>
              <w:rPr>
                <w:rFonts w:ascii="Times New Roman" w:hAnsi="Times New Roman" w:cs="Times New Roman" w:eastAsiaTheme="minorEastAsia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</w:rPr>
              <w:t>50</w:t>
            </w:r>
            <w:r>
              <w:rPr>
                <w:rFonts w:ascii="Times New Roman" w:hAnsi="Times New Roman" w:cs="Times New Roman" w:eastAsiaTheme="minorEastAsia"/>
                <w:szCs w:val="21"/>
              </w:rPr>
              <w:t>μ</w:t>
            </w:r>
            <w:r>
              <w:rPr>
                <w:rFonts w:hint="default" w:ascii="Times New Roman" w:hAnsi="Times New Roman" w:cs="Times New Roman" w:eastAsiaTheme="minorEastAsia"/>
                <w:szCs w:val="21"/>
              </w:rPr>
              <w:t>L</w:t>
            </w:r>
          </w:p>
        </w:tc>
      </w:tr>
      <w:tr w14:paraId="158CA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1" w:type="dxa"/>
            <w:vMerge w:val="continue"/>
            <w:tcBorders>
              <w:left w:val="nil"/>
              <w:right w:val="nil"/>
            </w:tcBorders>
          </w:tcPr>
          <w:p w14:paraId="2D5F2F24">
            <w:pPr>
              <w:jc w:val="center"/>
              <w:rPr>
                <w:rFonts w:ascii="Times New Roman" w:hAnsi="Times New Roman" w:cs="Times New Roman" w:eastAsiaTheme="minorEastAsia"/>
                <w:szCs w:val="21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14:paraId="546315EE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</w:rPr>
              <w:t>M122A0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7369D5F0">
            <w:pPr>
              <w:jc w:val="center"/>
              <w:rPr>
                <w:rFonts w:ascii="Times New Roman" w:hAnsi="Times New Roman" w:cs="Times New Roman" w:eastAsiaTheme="minorEastAsia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</w:rPr>
              <w:t>1</w:t>
            </w:r>
            <w:r>
              <w:rPr>
                <w:rFonts w:ascii="Times New Roman" w:hAnsi="Times New Roman" w:cs="Times New Roman" w:eastAsiaTheme="minorEastAsia"/>
                <w:szCs w:val="21"/>
              </w:rPr>
              <w:t>00</w:t>
            </w:r>
            <w:r>
              <w:rPr>
                <w:rFonts w:hint="default" w:ascii="Times New Roman" w:hAnsi="Times New Roman" w:cs="Times New Roman" w:eastAsiaTheme="minor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zCs w:val="21"/>
              </w:rPr>
              <w:t>μ</w:t>
            </w:r>
            <w:r>
              <w:rPr>
                <w:rFonts w:hint="default" w:ascii="Times New Roman" w:hAnsi="Times New Roman" w:cs="Times New Roman" w:eastAsiaTheme="minorEastAsia"/>
                <w:szCs w:val="21"/>
              </w:rPr>
              <w:t>L</w:t>
            </w:r>
          </w:p>
        </w:tc>
      </w:tr>
      <w:tr w14:paraId="2F863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01" w:type="dxa"/>
            <w:vMerge w:val="continue"/>
            <w:tcBorders>
              <w:left w:val="nil"/>
              <w:right w:val="nil"/>
            </w:tcBorders>
          </w:tcPr>
          <w:p w14:paraId="13A3E30D">
            <w:pPr>
              <w:jc w:val="center"/>
              <w:rPr>
                <w:rFonts w:ascii="Times New Roman" w:hAnsi="Times New Roman" w:cs="Times New Roman" w:eastAsiaTheme="minorEastAsia"/>
                <w:szCs w:val="21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14:paraId="1F1A515D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</w:rPr>
              <w:t>M122A0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709CB0BF">
            <w:pPr>
              <w:jc w:val="center"/>
              <w:rPr>
                <w:rFonts w:ascii="Times New Roman" w:hAnsi="Times New Roman" w:cs="Times New Roman" w:eastAsiaTheme="minorEastAsia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</w:rPr>
              <w:t>2</w:t>
            </w:r>
            <w:r>
              <w:rPr>
                <w:rFonts w:ascii="Times New Roman" w:hAnsi="Times New Roman" w:cs="Times New Roman" w:eastAsiaTheme="minorEastAsia"/>
                <w:szCs w:val="21"/>
              </w:rPr>
              <w:t>00</w:t>
            </w:r>
            <w:r>
              <w:rPr>
                <w:rFonts w:hint="default" w:ascii="Times New Roman" w:hAnsi="Times New Roman" w:cs="Times New Roman" w:eastAsiaTheme="minor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zCs w:val="21"/>
              </w:rPr>
              <w:t>μ</w:t>
            </w:r>
            <w:r>
              <w:rPr>
                <w:rFonts w:hint="default" w:ascii="Times New Roman" w:hAnsi="Times New Roman" w:cs="Times New Roman" w:eastAsiaTheme="minorEastAsia"/>
                <w:szCs w:val="21"/>
              </w:rPr>
              <w:t>L</w:t>
            </w:r>
          </w:p>
        </w:tc>
      </w:tr>
      <w:tr w14:paraId="2B7EF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901" w:type="dxa"/>
            <w:vMerge w:val="continue"/>
            <w:tcBorders>
              <w:left w:val="nil"/>
              <w:right w:val="nil"/>
            </w:tcBorders>
          </w:tcPr>
          <w:p w14:paraId="6D8299E7">
            <w:pPr>
              <w:jc w:val="center"/>
              <w:rPr>
                <w:rFonts w:ascii="Times New Roman" w:hAnsi="Times New Roman" w:cs="Times New Roman" w:eastAsiaTheme="minorEastAsia"/>
                <w:szCs w:val="21"/>
              </w:rPr>
            </w:pP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</w:tcPr>
          <w:p w14:paraId="29E55DE4"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</w:rPr>
              <w:t>M122A0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right w:val="nil"/>
            </w:tcBorders>
          </w:tcPr>
          <w:p w14:paraId="15142D77">
            <w:pPr>
              <w:jc w:val="center"/>
              <w:rPr>
                <w:rFonts w:ascii="Times New Roman" w:hAnsi="Times New Roman" w:cs="Times New Roman" w:eastAsiaTheme="minorEastAsia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</w:rPr>
              <w:t>5</w:t>
            </w:r>
            <w:r>
              <w:rPr>
                <w:rFonts w:ascii="Times New Roman" w:hAnsi="Times New Roman" w:cs="Times New Roman" w:eastAsiaTheme="minorEastAsia"/>
                <w:szCs w:val="21"/>
              </w:rPr>
              <w:t>00</w:t>
            </w:r>
            <w:r>
              <w:rPr>
                <w:rFonts w:hint="default" w:ascii="Times New Roman" w:hAnsi="Times New Roman" w:cs="Times New Roman" w:eastAsiaTheme="minor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szCs w:val="21"/>
              </w:rPr>
              <w:t>μ</w:t>
            </w:r>
            <w:r>
              <w:rPr>
                <w:rFonts w:hint="default" w:ascii="Times New Roman" w:hAnsi="Times New Roman" w:cs="Times New Roman" w:eastAsiaTheme="minorEastAsia"/>
                <w:szCs w:val="21"/>
              </w:rPr>
              <w:t>L</w:t>
            </w:r>
          </w:p>
        </w:tc>
      </w:tr>
    </w:tbl>
    <w:p w14:paraId="19E920F3">
      <w:pPr>
        <w:jc w:val="left"/>
        <w:rPr>
          <w:rFonts w:ascii="Times New Roman" w:hAnsi="Times New Roman" w:cs="Times New Roman" w:eastAsiaTheme="minorEastAsia"/>
          <w:b/>
          <w:bCs/>
          <w:sz w:val="24"/>
        </w:rPr>
      </w:pPr>
    </w:p>
    <w:p w14:paraId="0FD6FFE6">
      <w:pPr>
        <w:jc w:val="left"/>
        <w:rPr>
          <w:rFonts w:ascii="Times New Roman" w:hAnsi="Times New Roman" w:cs="Times New Roman" w:eastAsiaTheme="minorEastAsia"/>
          <w:b/>
          <w:bCs/>
          <w:sz w:val="24"/>
        </w:rPr>
      </w:pPr>
      <w:r>
        <w:rPr>
          <w:rFonts w:ascii="Times New Roman" w:hAnsi="Times New Roman" w:cs="Times New Roman" w:eastAsiaTheme="minorEastAsia"/>
          <w:b/>
          <w:bCs/>
          <w:sz w:val="24"/>
        </w:rPr>
        <w:t>产品描述</w:t>
      </w:r>
    </w:p>
    <w:p w14:paraId="6B60C6E2">
      <w:pPr>
        <w:ind w:firstLine="210" w:firstLineChars="100"/>
        <w:jc w:val="left"/>
        <w:rPr>
          <w:rFonts w:hint="eastAsia" w:ascii="Times New Roman" w:hAnsi="Times New Roman" w:cs="Times New Roman"/>
          <w:bCs/>
          <w:kern w:val="0"/>
          <w:szCs w:val="21"/>
          <w:lang w:eastAsia="zh-CN"/>
        </w:rPr>
      </w:pPr>
      <w:r>
        <w:rPr>
          <w:rFonts w:hint="eastAsia" w:ascii="Times New Roman" w:hAnsi="Times New Roman" w:cs="Times New Roman"/>
          <w:bCs/>
          <w:kern w:val="0"/>
          <w:szCs w:val="21"/>
          <w:lang w:val="en-US" w:eastAsia="zh-CN"/>
        </w:rPr>
        <w:t>本产品是为重组E. Coli表达突变的噬菌体T7 DNA编码 的蛋白，克隆编号为D05，是一种高度特异性识别T7启动子序列的DNA依赖的5'→3'   RNA聚合 酶。以含有T7启动子序列的单链或双链DNA为模板，  NTP为底物，合成与启动子下游的单链 DNA或双链DNA模板链互补的RNA 。相较于野生型的T7  RNA Polymerase ，T7 Turbo  RNA Polymerase能有效减少转录副产物dsRNA含量，同时其共转录加帽反应产物还具</w:t>
      </w:r>
      <w:bookmarkStart w:id="0" w:name="_GoBack"/>
      <w:bookmarkEnd w:id="0"/>
      <w:r>
        <w:rPr>
          <w:rFonts w:hint="eastAsia" w:ascii="Times New Roman" w:hAnsi="Times New Roman" w:cs="Times New Roman"/>
          <w:bCs/>
          <w:kern w:val="0"/>
          <w:szCs w:val="21"/>
          <w:lang w:val="en-US" w:eastAsia="zh-CN"/>
        </w:rPr>
        <w:t>有更高的 加帽率。。</w:t>
      </w:r>
    </w:p>
    <w:p w14:paraId="0B1F1840">
      <w:pPr>
        <w:ind w:firstLine="210" w:firstLineChars="100"/>
        <w:jc w:val="left"/>
        <w:rPr>
          <w:rFonts w:hint="eastAsia" w:ascii="Times New Roman" w:hAnsi="Times New Roman" w:cs="Times New Roman"/>
          <w:bCs/>
          <w:kern w:val="0"/>
          <w:szCs w:val="21"/>
          <w:lang w:eastAsia="zh-CN"/>
        </w:rPr>
      </w:pPr>
    </w:p>
    <w:p w14:paraId="5A1CE030">
      <w:pPr>
        <w:jc w:val="left"/>
        <w:rPr>
          <w:rFonts w:ascii="Times New Roman" w:hAnsi="Times New Roman" w:cs="Times New Roman" w:eastAsiaTheme="minorEastAsia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活性</w:t>
      </w:r>
      <w:r>
        <w:rPr>
          <w:rFonts w:ascii="Times New Roman" w:hAnsi="Times New Roman" w:cs="Times New Roman" w:eastAsiaTheme="minorEastAsia"/>
          <w:b/>
          <w:bCs/>
          <w:sz w:val="24"/>
          <w:szCs w:val="24"/>
        </w:rPr>
        <w:t xml:space="preserve">定义 </w:t>
      </w:r>
    </w:p>
    <w:p w14:paraId="5DCB93AA">
      <w:pPr>
        <w:jc w:val="left"/>
        <w:rPr>
          <w:rFonts w:ascii="Times New Roman" w:hAnsi="Times New Roman" w:cs="Times New Roman" w:eastAsiaTheme="minorEastAsia"/>
          <w:b/>
          <w:bCs/>
          <w:sz w:val="24"/>
          <w:szCs w:val="24"/>
        </w:rPr>
      </w:pPr>
    </w:p>
    <w:p w14:paraId="6DAC6D9C">
      <w:pPr>
        <w:jc w:val="lef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在标准反应体系下，37 ℃ 1h内将1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1"/>
          <w:szCs w:val="21"/>
        </w:rPr>
        <w:t>nmol的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1"/>
          <w:szCs w:val="21"/>
        </w:rPr>
        <w:t>ATP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1"/>
          <w:szCs w:val="21"/>
        </w:rPr>
        <w:t>掺入酸性不溶物所需要的酶量定义为一个活性单位（U）</w:t>
      </w:r>
    </w:p>
    <w:p w14:paraId="5F4F57BA">
      <w:pPr>
        <w:jc w:val="left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 w14:paraId="506803D9">
      <w:pPr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cs="Times New Roman" w:eastAsiaTheme="minorEastAsia"/>
          <w:b/>
          <w:bCs/>
          <w:sz w:val="24"/>
          <w:szCs w:val="24"/>
        </w:rPr>
        <w:t xml:space="preserve">质量控制 </w:t>
      </w:r>
      <w:r>
        <w:rPr>
          <w:rFonts w:ascii="Times New Roman" w:hAnsi="Times New Roman" w:eastAsia="宋体" w:cs="Times New Roman"/>
          <w:sz w:val="24"/>
          <w:szCs w:val="24"/>
        </w:rPr>
        <w:t></w:t>
      </w:r>
    </w:p>
    <w:p w14:paraId="27970F55">
      <w:pPr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</w:p>
    <w:p w14:paraId="566898A3">
      <w:pPr>
        <w:numPr>
          <w:ilvl w:val="0"/>
          <w:numId w:val="1"/>
        </w:numPr>
        <w:jc w:val="lef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核酸内切酶残留检测：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2</w:t>
      </w:r>
      <w:r>
        <w:rPr>
          <w:rFonts w:ascii="Times New Roman" w:hAnsi="Times New Roman" w:eastAsia="宋体" w:cs="Times New Roman"/>
          <w:sz w:val="21"/>
          <w:szCs w:val="21"/>
        </w:rPr>
        <w:t xml:space="preserve">0 μL 反应体系中加入50U本酶和1 μg λDNA 在 37 ℃下孵育 </w:t>
      </w:r>
    </w:p>
    <w:p w14:paraId="1E2171EF">
      <w:pPr>
        <w:numPr>
          <w:ilvl w:val="-1"/>
          <w:numId w:val="0"/>
        </w:numPr>
        <w:ind w:firstLine="210" w:firstLineChars="100"/>
        <w:jc w:val="lef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16h，琼脂糖凝胶电泳DNA谱带不发生变化。 </w:t>
      </w:r>
    </w:p>
    <w:p w14:paraId="06C589A6">
      <w:pPr>
        <w:numPr>
          <w:ilvl w:val="0"/>
          <w:numId w:val="1"/>
        </w:numPr>
        <w:jc w:val="lef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核酸外切酶残留检测：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2</w:t>
      </w:r>
      <w:r>
        <w:rPr>
          <w:rFonts w:ascii="Times New Roman" w:hAnsi="Times New Roman" w:eastAsia="宋体" w:cs="Times New Roman"/>
          <w:sz w:val="21"/>
          <w:szCs w:val="21"/>
        </w:rPr>
        <w:t>0 μL 反应体系中加入50U本酶1 μg λ-HindIII DNA 在37 ℃下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</w:p>
    <w:p w14:paraId="6B75692D">
      <w:pPr>
        <w:numPr>
          <w:ilvl w:val="-1"/>
          <w:numId w:val="0"/>
        </w:numPr>
        <w:ind w:firstLine="210" w:firstLineChars="100"/>
        <w:jc w:val="lef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孵育16h，琼脂糖凝胶 电泳 DNA谱带不发生变化。 </w:t>
      </w:r>
    </w:p>
    <w:p w14:paraId="4D14C266">
      <w:pPr>
        <w:numPr>
          <w:ilvl w:val="0"/>
          <w:numId w:val="1"/>
        </w:numPr>
        <w:jc w:val="lef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RNase残留检测：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2</w:t>
      </w:r>
      <w:r>
        <w:rPr>
          <w:rFonts w:ascii="Times New Roman" w:hAnsi="Times New Roman" w:eastAsia="宋体" w:cs="Times New Roman"/>
          <w:sz w:val="21"/>
          <w:szCs w:val="21"/>
        </w:rPr>
        <w:t>0 μL 反应体系中加入40 U本酶和1 μg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1"/>
          <w:szCs w:val="21"/>
        </w:rPr>
        <w:t xml:space="preserve">MS2RNA 在 37 ℃ 下孵育 </w:t>
      </w:r>
    </w:p>
    <w:p w14:paraId="54DD6BAA">
      <w:pPr>
        <w:numPr>
          <w:ilvl w:val="-1"/>
          <w:numId w:val="0"/>
        </w:numPr>
        <w:ind w:firstLine="210" w:firstLineChars="100"/>
        <w:jc w:val="lef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3</w:t>
      </w:r>
      <w:r>
        <w:rPr>
          <w:rFonts w:ascii="Times New Roman" w:hAnsi="Times New Roman" w:eastAsia="宋体" w:cs="Times New Roman"/>
          <w:sz w:val="21"/>
          <w:szCs w:val="21"/>
        </w:rPr>
        <w:t>h，琼脂糖凝胶电泳RNA 谱带不发生变化。 </w:t>
      </w:r>
    </w:p>
    <w:p w14:paraId="70DDD992">
      <w:pPr>
        <w:numPr>
          <w:ilvl w:val="0"/>
          <w:numId w:val="1"/>
        </w:numPr>
        <w:jc w:val="left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酶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失活条件：75℃，20min。</w:t>
      </w:r>
    </w:p>
    <w:p w14:paraId="39ADF4E0">
      <w:pPr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 w14:paraId="1133E74C">
      <w:pPr>
        <w:spacing w:before="0" w:beforeLines="-2147483648"/>
        <w:jc w:val="left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应用实例（20µL）</w:t>
      </w:r>
    </w:p>
    <w:p w14:paraId="2113921E">
      <w:pPr>
        <w:spacing w:before="0" w:beforeLines="-2147483648"/>
        <w:jc w:val="left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体系1</w:t>
      </w:r>
    </w:p>
    <w:tbl>
      <w:tblPr>
        <w:tblStyle w:val="7"/>
        <w:tblW w:w="0" w:type="auto"/>
        <w:tblInd w:w="1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4"/>
        <w:gridCol w:w="1720"/>
        <w:gridCol w:w="1934"/>
      </w:tblGrid>
      <w:tr w14:paraId="44858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6DCE44">
            <w:pPr>
              <w:widowControl/>
              <w:ind w:left="218" w:leftChars="104"/>
              <w:jc w:val="center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组分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1C17AC41">
            <w:pPr>
              <w:widowControl/>
              <w:jc w:val="center"/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浓度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00B40CEC">
            <w:pPr>
              <w:widowControl/>
              <w:jc w:val="center"/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用量</w:t>
            </w:r>
          </w:p>
        </w:tc>
      </w:tr>
      <w:tr w14:paraId="597B7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0588D14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RNase Free water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 w14:paraId="421D21F9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 w14:paraId="5085ED6E">
            <w:pPr>
              <w:jc w:val="center"/>
              <w:rPr>
                <w:rFonts w:hint="eastAsia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Up to 20 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µL</w:t>
            </w:r>
          </w:p>
        </w:tc>
      </w:tr>
      <w:tr w14:paraId="0C395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5F628E">
            <w:pPr>
              <w:jc w:val="center"/>
              <w:rPr>
                <w:rFonts w:hint="eastAsia" w:ascii="Times New Roman" w:hAnsi="Times New Roman" w:cs="Times New Roman" w:eastAsiaTheme="minorEastAsia"/>
                <w:bCs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10 ×</w:t>
            </w: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Transcription 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Buffe</w:t>
            </w: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r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184BE11F">
            <w:pPr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×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436BD737">
            <w:pPr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µL</w:t>
            </w:r>
          </w:p>
        </w:tc>
      </w:tr>
      <w:tr w14:paraId="58D8C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4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E162FA3">
            <w:pPr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T7 RNA Polymerase（low dsRNA）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28A69C11">
            <w:pPr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200 </w:t>
            </w: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U/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µL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52DD2E58">
            <w:pPr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µL</w:t>
            </w:r>
          </w:p>
        </w:tc>
      </w:tr>
      <w:tr w14:paraId="32A72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4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36F256B">
            <w:pPr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ATP/CTP/GTP/UTP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267D464E">
            <w:pPr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100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 mM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4C107B6A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1.5</w:t>
            </w: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µL</w:t>
            </w: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 each</w:t>
            </w:r>
          </w:p>
        </w:tc>
      </w:tr>
      <w:tr w14:paraId="7EC13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67BC99">
            <w:pPr>
              <w:widowControl/>
              <w:jc w:val="center"/>
              <w:rPr>
                <w:rFonts w:hint="default" w:ascii="Times New Roman" w:hAnsi="Times New Roman" w:cs="Times New Roman"/>
                <w:bCs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Cap Analog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5027898A">
            <w:pPr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100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 mM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5C6F4FF7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0.6</w:t>
            </w: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µL</w:t>
            </w:r>
          </w:p>
        </w:tc>
      </w:tr>
      <w:tr w14:paraId="7952A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4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DA7A4AA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RNase</w:t>
            </w: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 inhibitor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 w14:paraId="2C96F2DC">
            <w:pPr>
              <w:jc w:val="center"/>
              <w:rPr>
                <w:rFonts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40 </w:t>
            </w: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U/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µL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 w14:paraId="6BF7B049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µL</w:t>
            </w:r>
          </w:p>
        </w:tc>
      </w:tr>
      <w:tr w14:paraId="7BEE4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4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55AB3F6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  <w:t>Inorganic Pyrophosphatase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 w14:paraId="58293AAF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0.1</w:t>
            </w: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U/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µL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 w14:paraId="71096F53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µL</w:t>
            </w:r>
          </w:p>
        </w:tc>
      </w:tr>
      <w:tr w14:paraId="1890A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4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7CFDF5B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DNA模板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 w14:paraId="2C3FBE47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 w14:paraId="40612AD9">
            <w:pPr>
              <w:jc w:val="center"/>
              <w:rPr>
                <w:rFonts w:hint="eastAsia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</w:t>
            </w: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g</w:t>
            </w:r>
          </w:p>
        </w:tc>
      </w:tr>
    </w:tbl>
    <w:p w14:paraId="085864D1">
      <w:pPr>
        <w:spacing w:before="0" w:beforeLines="-2147483648"/>
        <w:jc w:val="left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注：</w:t>
      </w:r>
      <w:r>
        <w:rPr>
          <w:rFonts w:hint="eastAsia" w:ascii="Times New Roman" w:hAnsi="Times New Roman" w:cs="Times New Roman"/>
          <w:bCs/>
          <w:kern w:val="0"/>
          <w:sz w:val="18"/>
          <w:szCs w:val="18"/>
          <w:lang w:val="en-US" w:eastAsia="zh-CN"/>
        </w:rPr>
        <w:t>T7 RNA Polymerase（low dsRNA）</w:t>
      </w:r>
      <w:r>
        <w:rPr>
          <w:rFonts w:hint="default" w:ascii="Times New Roman" w:hAnsi="Times New Roman" w:eastAsia="宋体" w:cs="Times New Roman"/>
          <w:bCs w:val="0"/>
          <w:color w:val="000000"/>
          <w:kern w:val="0"/>
          <w:sz w:val="18"/>
          <w:szCs w:val="18"/>
          <w:lang w:val="en-US" w:eastAsia="zh-CN" w:bidi="ar"/>
        </w:rPr>
        <w:t>、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18"/>
          <w:szCs w:val="18"/>
          <w:lang w:val="en-US" w:eastAsia="zh-CN" w:bidi="ar"/>
        </w:rPr>
        <w:t>NTPs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与</w:t>
      </w: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>Cap Analog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>添加量可适当调整。</w:t>
      </w:r>
    </w:p>
    <w:p w14:paraId="3F5BD8F7">
      <w:pPr>
        <w:spacing w:before="0" w:beforeLines="-2147483648"/>
        <w:jc w:val="left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体系2</w:t>
      </w:r>
    </w:p>
    <w:tbl>
      <w:tblPr>
        <w:tblStyle w:val="7"/>
        <w:tblW w:w="0" w:type="auto"/>
        <w:tblInd w:w="1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4"/>
        <w:gridCol w:w="1720"/>
        <w:gridCol w:w="1934"/>
      </w:tblGrid>
      <w:tr w14:paraId="2F2FF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2F3626">
            <w:pPr>
              <w:widowControl/>
              <w:ind w:left="218" w:leftChars="104"/>
              <w:jc w:val="center"/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组分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76658432">
            <w:pPr>
              <w:widowControl/>
              <w:jc w:val="center"/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浓度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6F005DF3">
            <w:pPr>
              <w:widowControl/>
              <w:jc w:val="center"/>
              <w:rPr>
                <w:rFonts w:ascii="Times New Roman" w:hAnsi="Times New Roman" w:cs="Times New Roman" w:eastAsiaTheme="minorEastAsia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用量</w:t>
            </w:r>
          </w:p>
        </w:tc>
      </w:tr>
      <w:tr w14:paraId="2BEA5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FD87083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RNase Free water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 w14:paraId="26370502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 w14:paraId="47EA5700">
            <w:pPr>
              <w:jc w:val="center"/>
              <w:rPr>
                <w:rFonts w:hint="eastAsia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Up to 20 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µL</w:t>
            </w:r>
          </w:p>
        </w:tc>
      </w:tr>
      <w:tr w14:paraId="5830B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1FEC4E">
            <w:pPr>
              <w:jc w:val="center"/>
              <w:rPr>
                <w:rFonts w:hint="eastAsia" w:ascii="Times New Roman" w:hAnsi="Times New Roman" w:cs="Times New Roman" w:eastAsiaTheme="minorEastAsia"/>
                <w:bCs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10 ×</w:t>
            </w: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Transcription 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Buffe</w:t>
            </w: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r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2A9579AE">
            <w:pPr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×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1A81B6C5">
            <w:pPr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µL</w:t>
            </w:r>
          </w:p>
        </w:tc>
      </w:tr>
      <w:tr w14:paraId="6A679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4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1B8B57D">
            <w:pPr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T7 RNA Polymerase（low dsRNA）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2A2B38C2">
            <w:pPr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200 </w:t>
            </w: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U/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µL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11A7322E">
            <w:pPr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µL</w:t>
            </w:r>
          </w:p>
        </w:tc>
      </w:tr>
      <w:tr w14:paraId="79146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4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79DF966">
            <w:pPr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ATP/CTP/GTP/UTP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7FBA63F6">
            <w:pPr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100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 mM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4DD63BC5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µL</w:t>
            </w: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 each</w:t>
            </w:r>
          </w:p>
        </w:tc>
      </w:tr>
      <w:tr w14:paraId="5E0F4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4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FA58FD5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RNase</w:t>
            </w: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 inhibitor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 w14:paraId="6CD3BEDF">
            <w:pPr>
              <w:jc w:val="center"/>
              <w:rPr>
                <w:rFonts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40 </w:t>
            </w: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U/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µL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 w14:paraId="0BEB4B3B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µL</w:t>
            </w:r>
          </w:p>
        </w:tc>
      </w:tr>
      <w:tr w14:paraId="7BCEE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4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46BD724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  <w:t>Inorganic Pyrophosphatase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 w14:paraId="4D9E1939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0.1</w:t>
            </w:r>
            <w:r>
              <w:rPr>
                <w:rFonts w:hint="default" w:ascii="Times New Roman" w:hAnsi="Times New Roman" w:cs="Times New Roman"/>
                <w:bCs/>
                <w:kern w:val="0"/>
                <w:szCs w:val="21"/>
              </w:rPr>
              <w:t>U/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µL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 w14:paraId="65931271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µL</w:t>
            </w:r>
          </w:p>
        </w:tc>
      </w:tr>
      <w:tr w14:paraId="52FBA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4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26C435A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DNA模板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 w14:paraId="077B3834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top"/>
          </w:tcPr>
          <w:p w14:paraId="733421F5">
            <w:pPr>
              <w:jc w:val="center"/>
              <w:rPr>
                <w:rFonts w:hint="eastAsia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kern w:val="0"/>
                <w:szCs w:val="21"/>
              </w:rPr>
              <w:t>µ</w:t>
            </w:r>
            <w:r>
              <w:rPr>
                <w:rFonts w:hint="eastAsia" w:ascii="Times New Roman" w:hAnsi="Times New Roman" w:cs="Times New Roman"/>
                <w:bCs/>
                <w:kern w:val="0"/>
                <w:szCs w:val="21"/>
                <w:lang w:val="en-US" w:eastAsia="zh-CN"/>
              </w:rPr>
              <w:t>g</w:t>
            </w:r>
          </w:p>
        </w:tc>
      </w:tr>
    </w:tbl>
    <w:p w14:paraId="6DAA1B1D">
      <w:pPr>
        <w:widowControl/>
        <w:numPr>
          <w:ilvl w:val="-1"/>
          <w:numId w:val="0"/>
        </w:numPr>
        <w:spacing w:before="0" w:beforeLines="-2147483648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操作步骤：</w:t>
      </w:r>
    </w:p>
    <w:p w14:paraId="638C1F80">
      <w:pPr>
        <w:widowControl/>
        <w:numPr>
          <w:ilvl w:val="0"/>
          <w:numId w:val="2"/>
        </w:numPr>
        <w:spacing w:before="0" w:beforeLines="-2147483648"/>
        <w:jc w:val="left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在RNase free离心管中配制混合液</w:t>
      </w:r>
    </w:p>
    <w:p w14:paraId="299C9515">
      <w:pPr>
        <w:widowControl/>
        <w:numPr>
          <w:ilvl w:val="-1"/>
          <w:numId w:val="0"/>
        </w:numPr>
        <w:spacing w:before="0" w:beforeLines="-2147483648"/>
        <w:jc w:val="left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注： a. 反应于室温配置。</w:t>
      </w:r>
    </w:p>
    <w:p w14:paraId="1E7C402D">
      <w:pPr>
        <w:keepNext w:val="0"/>
        <w:keepLines w:val="0"/>
        <w:widowControl/>
        <w:suppressLineNumbers w:val="0"/>
        <w:jc w:val="left"/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b. 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  <w:t xml:space="preserve">根据实际情况选择适合的体系    </w:t>
      </w:r>
    </w:p>
    <w:p w14:paraId="63588AA3">
      <w:pPr>
        <w:keepNext w:val="0"/>
        <w:keepLines w:val="0"/>
        <w:widowControl/>
        <w:suppressLineNumbers w:val="0"/>
        <w:ind w:firstLine="540" w:firstLineChars="30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c. 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  <w:t>长转录本（</w:t>
      </w: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>&gt;1000nt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  <w:t>），建议使用质粒线性化模板进行转录。</w:t>
      </w:r>
    </w:p>
    <w:p w14:paraId="4053778D">
      <w:pPr>
        <w:keepNext w:val="0"/>
        <w:keepLines w:val="0"/>
        <w:widowControl/>
        <w:suppressLineNumbers w:val="0"/>
        <w:ind w:firstLine="540" w:firstLineChars="30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d. 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  <w:t xml:space="preserve">建议在 </w:t>
      </w: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PCR 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  <w:t>仪中进行反应，热盖打开，防止长时间导致反应液蒸发。</w:t>
      </w:r>
    </w:p>
    <w:p w14:paraId="03173B4C">
      <w:pPr>
        <w:keepNext w:val="0"/>
        <w:keepLines w:val="0"/>
        <w:widowControl/>
        <w:suppressLineNumbers w:val="0"/>
        <w:ind w:firstLine="540" w:firstLineChars="30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e. 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  <w:t xml:space="preserve">反应产物可能有白色沉淀。这是反应过程中游离的焦磷酸与反应液中的镁离子形成焦磷酸镁，不 </w:t>
      </w:r>
    </w:p>
    <w:p w14:paraId="28870FED">
      <w:pPr>
        <w:keepNext w:val="0"/>
        <w:keepLines w:val="0"/>
        <w:widowControl/>
        <w:suppressLineNumbers w:val="0"/>
        <w:ind w:left="535" w:leftChars="255" w:firstLine="0" w:firstLineChars="0"/>
        <w:jc w:val="left"/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  <w:t xml:space="preserve">影响后续实验。如想去除，添加 </w:t>
      </w: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EDTA 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  <w:t xml:space="preserve">即可消失。添加 </w:t>
      </w: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EDTA 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  <w:t>如果影响后续实验，也可以离心回收上清。</w:t>
      </w:r>
    </w:p>
    <w:p w14:paraId="0E211603">
      <w:pPr>
        <w:keepNext w:val="0"/>
        <w:keepLines w:val="0"/>
        <w:widowControl/>
        <w:suppressLineNumbers w:val="0"/>
        <w:ind w:firstLine="540" w:firstLineChars="30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f. 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  <w:t xml:space="preserve">使用试剂、容器等无 </w:t>
      </w:r>
      <w:r>
        <w:rPr>
          <w:rFonts w:hint="default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 xml:space="preserve">RNase 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  <w:t>污染。</w:t>
      </w:r>
    </w:p>
    <w:p w14:paraId="49D4CEA6">
      <w:pPr>
        <w:keepNext w:val="0"/>
        <w:keepLines w:val="0"/>
        <w:widowControl/>
        <w:suppressLineNumbers w:val="0"/>
        <w:jc w:val="left"/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2、</w:t>
      </w: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  <w:t>轻轻混匀。</w:t>
      </w:r>
    </w:p>
    <w:p w14:paraId="042C00B2">
      <w:pPr>
        <w:widowControl/>
        <w:numPr>
          <w:ilvl w:val="-1"/>
          <w:numId w:val="0"/>
        </w:numPr>
        <w:spacing w:before="0" w:beforeLines="-2147483648"/>
        <w:jc w:val="left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3. 37℃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反应2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。</w:t>
      </w:r>
    </w:p>
    <w:p w14:paraId="3B76E621">
      <w:pPr>
        <w:widowControl/>
        <w:numPr>
          <w:ilvl w:val="-1"/>
          <w:numId w:val="0"/>
        </w:numPr>
        <w:spacing w:before="0" w:beforeLines="-2147483648"/>
        <w:jc w:val="left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4、4. DNase I处理（可选） </w:t>
      </w:r>
    </w:p>
    <w:p w14:paraId="4D9C3739">
      <w:pPr>
        <w:widowControl/>
        <w:numPr>
          <w:ilvl w:val="-1"/>
          <w:numId w:val="0"/>
        </w:numPr>
        <w:spacing w:before="0" w:beforeLines="-2147483648"/>
        <w:jc w:val="left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反应完成后，每管加入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2</w:t>
      </w:r>
      <w:r>
        <w:rPr>
          <w:rFonts w:hint="default" w:ascii="Times New Roman" w:hAnsi="Times New Roman" w:cs="Times New Roman"/>
          <w:b w:val="0"/>
          <w:bCs/>
          <w:kern w:val="0"/>
          <w:sz w:val="21"/>
          <w:szCs w:val="21"/>
          <w:lang w:val="en-US" w:eastAsia="zh-CN"/>
        </w:rPr>
        <w:t>μL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DNase Ⅰ（RNase free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），37℃孵育 15min 以去除模板 DNA。</w:t>
      </w:r>
    </w:p>
    <w:p w14:paraId="5CB80038">
      <w:pPr>
        <w:widowControl/>
        <w:numPr>
          <w:ilvl w:val="-1"/>
          <w:numId w:val="0"/>
        </w:numPr>
        <w:spacing w:before="0" w:beforeLines="-2147483648"/>
        <w:jc w:val="left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5、产物纯化 </w:t>
      </w:r>
    </w:p>
    <w:p w14:paraId="0437CD91">
      <w:pPr>
        <w:widowControl/>
        <w:numPr>
          <w:ilvl w:val="-1"/>
          <w:numId w:val="0"/>
        </w:numPr>
        <w:spacing w:before="0" w:beforeLines="-2147483648"/>
        <w:jc w:val="left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转录后的 RNA 可以选用 RNA Cleaner 磁珠进行纯化，也可以采用酚/氯仿纯化法，氯化锂沉淀法或柱纯化等，以去除蛋白、游离的核苷酸。纯化后的 RNA 经电泳检测后可进行下游实验或存储于-80℃。</w:t>
      </w:r>
    </w:p>
    <w:p w14:paraId="69577E8C">
      <w:pPr>
        <w:jc w:val="left"/>
        <w:rPr>
          <w:rFonts w:ascii="Times New Roman" w:hAnsi="Times New Roman" w:cs="Times New Roman" w:eastAsiaTheme="minorEastAsia"/>
          <w:b/>
          <w:bCs/>
          <w:color w:val="FFFFFF"/>
          <w:kern w:val="0"/>
          <w:sz w:val="20"/>
          <w:szCs w:val="20"/>
          <w:lang w:bidi="ar"/>
        </w:rPr>
      </w:pPr>
      <w:r>
        <w:rPr>
          <w:rFonts w:hint="eastAsia" w:ascii="Times New Roman" w:hAnsi="Times New Roman" w:cs="Times New Roman" w:eastAsiaTheme="minorEastAsia"/>
          <w:b w:val="0"/>
          <w:bCs w:val="0"/>
          <w:color w:val="FFFFFF"/>
          <w:kern w:val="0"/>
          <w:sz w:val="20"/>
          <w:szCs w:val="20"/>
          <w:lang w:val="en-US" w:eastAsia="zh-CN" w:bidi="ar"/>
        </w:rPr>
        <w:t xml:space="preserve">手套操作。 </w:t>
      </w:r>
      <w:r>
        <w:rPr>
          <w:rFonts w:ascii="Times New Roman" w:hAnsi="Times New Roman" w:cs="Times New Roman" w:eastAsiaTheme="minorEastAsia"/>
          <w:b/>
          <w:bCs/>
          <w:color w:val="FFFFFF"/>
          <w:kern w:val="0"/>
          <w:sz w:val="20"/>
          <w:szCs w:val="20"/>
          <w:lang w:val="en-US" w:eastAsia="zh-CN" w:bidi="ar"/>
        </w:rPr>
        <w:t>意事项</w:t>
      </w:r>
    </w:p>
    <w:p w14:paraId="631484E9">
      <w:pPr>
        <w:jc w:val="left"/>
        <w:rPr>
          <w:rFonts w:ascii="Times New Roman" w:hAnsi="Times New Roman" w:cs="Times New Roman" w:eastAsiaTheme="minorEastAsia"/>
          <w:b/>
          <w:bCs/>
          <w:sz w:val="24"/>
        </w:rPr>
      </w:pPr>
      <w:r>
        <w:rPr>
          <w:rFonts w:ascii="Times New Roman" w:hAnsi="Times New Roman" w:cs="Times New Roman" w:eastAsiaTheme="minorEastAsia"/>
          <w:b/>
          <w:bCs/>
          <w:sz w:val="24"/>
        </w:rPr>
        <w:t>运输和储存</w:t>
      </w:r>
    </w:p>
    <w:p w14:paraId="3A1A17CB">
      <w:pPr>
        <w:jc w:val="left"/>
        <w:rPr>
          <w:rFonts w:ascii="Times New Roman" w:hAnsi="Times New Roman" w:cs="Times New Roman" w:eastAsiaTheme="minorEastAsia"/>
          <w:b/>
          <w:bCs/>
          <w:sz w:val="24"/>
        </w:rPr>
      </w:pPr>
    </w:p>
    <w:p w14:paraId="318C0138">
      <w:pPr>
        <w:jc w:val="left"/>
        <w:rPr>
          <w:rFonts w:ascii="Times New Roman" w:hAnsi="Times New Roman" w:cs="Times New Roman" w:eastAsiaTheme="minorEastAsia"/>
          <w:szCs w:val="21"/>
        </w:rPr>
      </w:pPr>
      <w:r>
        <w:rPr>
          <w:rFonts w:ascii="Times New Roman" w:hAnsi="Times New Roman" w:cs="Times New Roman" w:eastAsiaTheme="minorEastAsia"/>
          <w:szCs w:val="21"/>
        </w:rPr>
        <w:t>-20 ± 5℃保存，运输条件：≤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 w:eastAsiaTheme="minorEastAsia"/>
          <w:szCs w:val="21"/>
        </w:rPr>
        <w:t>0℃</w:t>
      </w:r>
      <w:r>
        <w:rPr>
          <w:rFonts w:hint="eastAsia" w:ascii="Times New Roman" w:hAnsi="Times New Roman" w:cs="Times New Roman"/>
          <w:szCs w:val="21"/>
          <w:lang w:eastAsia="zh-CN"/>
        </w:rPr>
        <w:t>，</w:t>
      </w:r>
      <w:r>
        <w:rPr>
          <w:rFonts w:ascii="Times New Roman" w:hAnsi="Times New Roman" w:cs="Times New Roman" w:eastAsiaTheme="minorEastAsia"/>
          <w:szCs w:val="21"/>
        </w:rPr>
        <w:t>有效期为</w:t>
      </w:r>
      <w:r>
        <w:rPr>
          <w:rFonts w:hint="eastAsia" w:ascii="Times New Roman" w:hAnsi="Times New Roman" w:cs="Times New Roman"/>
          <w:szCs w:val="21"/>
          <w:lang w:val="en-US" w:eastAsia="zh-CN"/>
        </w:rPr>
        <w:t>24</w:t>
      </w:r>
      <w:r>
        <w:rPr>
          <w:rFonts w:ascii="Times New Roman" w:hAnsi="Times New Roman" w:cs="Times New Roman" w:eastAsiaTheme="minorEastAsia"/>
          <w:szCs w:val="21"/>
        </w:rPr>
        <w:t>个月。</w:t>
      </w:r>
    </w:p>
    <w:p w14:paraId="2E3481F2">
      <w:pPr>
        <w:jc w:val="left"/>
        <w:rPr>
          <w:rFonts w:ascii="Times New Roman" w:hAnsi="Times New Roman" w:cs="Times New Roman" w:eastAsiaTheme="minorEastAsia"/>
          <w:szCs w:val="21"/>
        </w:rPr>
      </w:pPr>
    </w:p>
    <w:p w14:paraId="672D2C32">
      <w:pPr>
        <w:jc w:val="left"/>
        <w:rPr>
          <w:rFonts w:ascii="Times New Roman" w:hAnsi="Times New Roman" w:cs="Times New Roman" w:eastAsiaTheme="minorEastAsia"/>
          <w:b/>
          <w:bCs/>
          <w:sz w:val="24"/>
        </w:rPr>
      </w:pPr>
      <w:r>
        <w:rPr>
          <w:rFonts w:ascii="Times New Roman" w:hAnsi="Times New Roman" w:cs="Times New Roman" w:eastAsiaTheme="minorEastAsia"/>
          <w:b/>
          <w:bCs/>
          <w:sz w:val="24"/>
        </w:rPr>
        <w:t>注意事项</w:t>
      </w:r>
    </w:p>
    <w:p w14:paraId="23BA4CF3">
      <w:pPr>
        <w:jc w:val="left"/>
        <w:rPr>
          <w:rFonts w:ascii="Times New Roman" w:hAnsi="Times New Roman" w:cs="Times New Roman" w:eastAsiaTheme="minorEastAsia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1. DNA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模板的种类：推荐使用含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T7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启动子的线性化质粒和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PCR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 xml:space="preserve">产物作为模板。 </w:t>
      </w:r>
    </w:p>
    <w:p w14:paraId="1DEA25C1">
      <w:pPr>
        <w:ind w:left="210" w:hanging="210" w:hangingChars="100"/>
        <w:jc w:val="left"/>
        <w:rPr>
          <w:rFonts w:ascii="Times New Roman" w:hAnsi="Times New Roman" w:cs="Times New Roman" w:eastAsiaTheme="minorEastAsia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 xml:space="preserve">2. 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转录模板的纯度会显著影响体外转录反应。在质粒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DNA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抽提过程中残留的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RNase A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会显著影响转录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RNA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的质量。</w:t>
      </w:r>
    </w:p>
    <w:p w14:paraId="5B659559">
      <w:pPr>
        <w:jc w:val="left"/>
        <w:rPr>
          <w:rFonts w:ascii="Times New Roman" w:hAnsi="Times New Roman" w:cs="Times New Roman" w:eastAsiaTheme="minorEastAsia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 xml:space="preserve">3. 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在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20 μL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反应体系中加入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0.02-0.04 U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 xml:space="preserve">无机焦磷酸酶可显著提高转录产量。 </w:t>
      </w:r>
    </w:p>
    <w:p w14:paraId="364EF2F6">
      <w:pPr>
        <w:jc w:val="left"/>
        <w:rPr>
          <w:rFonts w:ascii="Times New Roman" w:hAnsi="Times New Roman" w:cs="Times New Roman" w:eastAsiaTheme="minorEastAsia"/>
          <w:b/>
          <w:bCs/>
          <w:sz w:val="24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 xml:space="preserve">4. 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为了您的安全和健康，请穿实验服并戴一次性手套操作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5CAAD">
    <w:pPr>
      <w:pStyle w:val="3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211891701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17014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No. 866 Moganshan Rd., Hangzhou, China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1905" b="63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400-866-2586  </w:t>
    </w:r>
  </w:p>
  <w:p w14:paraId="2A3DEE5F">
    <w:pPr>
      <w:pStyle w:val="3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0" b="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</w:t>
    </w:r>
    <w:r>
      <w:rPr>
        <w:rFonts w:hint="eastAsia" w:ascii="Times New Roman" w:hAnsi="Times New Roman"/>
      </w:rPr>
      <w:t>service</w:t>
    </w:r>
    <w:r>
      <w:rPr>
        <w:rFonts w:ascii="Times New Roman" w:hAnsi="Times New Roman"/>
      </w:rPr>
      <w:t>@</w:t>
    </w:r>
    <w:r>
      <w:rPr>
        <w:rFonts w:hint="eastAsia" w:ascii="Times New Roman" w:hAnsi="Times New Roman"/>
        <w:lang w:val="en-US" w:eastAsia="zh-CN"/>
      </w:rPr>
      <w:t>p</w:t>
    </w:r>
    <w:r>
      <w:rPr>
        <w:rFonts w:ascii="Times New Roman" w:hAnsi="Times New Roman"/>
      </w:rPr>
      <w:t xml:space="preserve">erfectmRNA.com  </w:t>
    </w:r>
    <w:r>
      <w:drawing>
        <wp:inline distT="0" distB="0" distL="0" distR="0">
          <wp:extent cx="130810" cy="130810"/>
          <wp:effectExtent l="0" t="0" r="2540" b="254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</w:t>
    </w:r>
    <w:r>
      <w:rPr>
        <w:rFonts w:hint="eastAsia" w:ascii="Times New Roman" w:hAnsi="Times New Roman"/>
        <w:lang w:val="en-US" w:eastAsia="zh-CN"/>
      </w:rPr>
      <w:t>p</w:t>
    </w:r>
    <w:r>
      <w:rPr>
        <w:rFonts w:ascii="Times New Roman" w:hAnsi="Times New Roman"/>
      </w:rPr>
      <w:t>erfectmRNA.com</w:t>
    </w:r>
  </w:p>
  <w:p w14:paraId="438980C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64468">
    <w:pPr>
      <w:pStyle w:val="4"/>
      <w:ind w:firstLine="0" w:firstLineChars="0"/>
      <w:rPr>
        <w:rFonts w:ascii="Times New Roman" w:hAnsi="Times New Roman" w:eastAsia="仿宋_GB2312" w:cs="Times New Roman"/>
        <w:sz w:val="21"/>
        <w:szCs w:val="21"/>
      </w:rPr>
    </w:pPr>
    <w:r>
      <w:rPr>
        <w:rFonts w:ascii="仿宋_GB2312" w:eastAsia="仿宋_GB2312" w:cs="仿宋_GB2312"/>
        <w:sz w:val="28"/>
        <w:szCs w:val="2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</w:t>
    </w:r>
    <w:r>
      <w:t xml:space="preserve">     </w:t>
    </w:r>
    <w:r>
      <w:rPr>
        <w:rFonts w:hint="eastAsia"/>
      </w:rPr>
      <w:t xml:space="preserve">   </w:t>
    </w:r>
    <w:r>
      <w:rPr>
        <w:rFonts w:hint="eastAsia"/>
        <w:lang w:val="en-US" w:eastAsia="zh-CN"/>
      </w:rPr>
      <w:t xml:space="preserve">                       </w:t>
    </w:r>
    <w:r>
      <w:rPr>
        <w:rFonts w:hint="eastAsia" w:ascii="仿宋_GB2312" w:hAnsi="Times New Roman" w:eastAsia="仿宋_GB2312" w:cs="仿宋_GB2312"/>
        <w:sz w:val="21"/>
        <w:szCs w:val="21"/>
      </w:rPr>
      <w:t>杭州珲</w:t>
    </w:r>
    <w:r>
      <w:rPr>
        <w:rFonts w:hint="eastAsia" w:ascii="仿宋_GB2312" w:eastAsia="仿宋_GB2312" w:cs="仿宋_GB2312"/>
        <w:sz w:val="21"/>
        <w:szCs w:val="21"/>
      </w:rPr>
      <w:t>信生物科技有限公司</w:t>
    </w:r>
    <w:r>
      <w:rPr>
        <w:rFonts w:ascii="仿宋_GB2312" w:eastAsia="仿宋_GB2312" w:cs="仿宋_GB2312"/>
        <w:sz w:val="21"/>
        <w:szCs w:val="21"/>
      </w:rPr>
      <w:t xml:space="preserve"> </w:t>
    </w:r>
  </w:p>
  <w:p w14:paraId="66F1E46B">
    <w:pPr>
      <w:pStyle w:val="4"/>
      <w:ind w:firstLine="3990" w:firstLineChars="1900"/>
    </w:pPr>
    <w:r>
      <w:rPr>
        <w:rFonts w:ascii="Times New Roman" w:hAnsi="Times New Roman" w:eastAsia="仿宋_GB2312" w:cs="Times New Roman"/>
        <w:sz w:val="21"/>
        <w:szCs w:val="21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91C533"/>
    <w:multiLevelType w:val="singleLevel"/>
    <w:tmpl w:val="8D91C53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FA12926"/>
    <w:multiLevelType w:val="singleLevel"/>
    <w:tmpl w:val="DFA1292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hNTU0YTM4N2NlNWVmZWFjNDM4NjdjY2Y3ZDA3NWIifQ=="/>
  </w:docVars>
  <w:rsids>
    <w:rsidRoot w:val="00A752DF"/>
    <w:rsid w:val="00103283"/>
    <w:rsid w:val="00460B8B"/>
    <w:rsid w:val="006E247C"/>
    <w:rsid w:val="00A71811"/>
    <w:rsid w:val="00A752DF"/>
    <w:rsid w:val="00BC5B8F"/>
    <w:rsid w:val="00E30011"/>
    <w:rsid w:val="00F27441"/>
    <w:rsid w:val="018B2C5F"/>
    <w:rsid w:val="01CC7C92"/>
    <w:rsid w:val="0261662C"/>
    <w:rsid w:val="02641C78"/>
    <w:rsid w:val="02FC38F4"/>
    <w:rsid w:val="033D7D2E"/>
    <w:rsid w:val="035305E1"/>
    <w:rsid w:val="036F2FCB"/>
    <w:rsid w:val="03856539"/>
    <w:rsid w:val="03A5079A"/>
    <w:rsid w:val="03B23B30"/>
    <w:rsid w:val="03F60FF6"/>
    <w:rsid w:val="049031F8"/>
    <w:rsid w:val="04A60F0B"/>
    <w:rsid w:val="04E86B91"/>
    <w:rsid w:val="05614B95"/>
    <w:rsid w:val="05D9297D"/>
    <w:rsid w:val="05F25EAB"/>
    <w:rsid w:val="05FB0B46"/>
    <w:rsid w:val="06A74829"/>
    <w:rsid w:val="08326375"/>
    <w:rsid w:val="08B651F8"/>
    <w:rsid w:val="09A3577C"/>
    <w:rsid w:val="0BD0037E"/>
    <w:rsid w:val="0C360B29"/>
    <w:rsid w:val="0D5301A2"/>
    <w:rsid w:val="0D961154"/>
    <w:rsid w:val="0F4811AD"/>
    <w:rsid w:val="0FD06B9F"/>
    <w:rsid w:val="10152804"/>
    <w:rsid w:val="110765F0"/>
    <w:rsid w:val="118063A3"/>
    <w:rsid w:val="11B00A36"/>
    <w:rsid w:val="11DE16F5"/>
    <w:rsid w:val="11E64458"/>
    <w:rsid w:val="12FC7CAB"/>
    <w:rsid w:val="12FE053C"/>
    <w:rsid w:val="136E0BA9"/>
    <w:rsid w:val="145A2EDB"/>
    <w:rsid w:val="145B3C15"/>
    <w:rsid w:val="14F11BFC"/>
    <w:rsid w:val="150C68CB"/>
    <w:rsid w:val="152F4368"/>
    <w:rsid w:val="15396F94"/>
    <w:rsid w:val="158337AA"/>
    <w:rsid w:val="15836462"/>
    <w:rsid w:val="15D600CA"/>
    <w:rsid w:val="1634710C"/>
    <w:rsid w:val="167069E6"/>
    <w:rsid w:val="16707CBC"/>
    <w:rsid w:val="16DC22CD"/>
    <w:rsid w:val="17577BA6"/>
    <w:rsid w:val="18DF6E59"/>
    <w:rsid w:val="190D49C0"/>
    <w:rsid w:val="19235F91"/>
    <w:rsid w:val="19267830"/>
    <w:rsid w:val="19364DE9"/>
    <w:rsid w:val="198F3627"/>
    <w:rsid w:val="19921AB6"/>
    <w:rsid w:val="1B5E7755"/>
    <w:rsid w:val="1BDB2B53"/>
    <w:rsid w:val="1C38291A"/>
    <w:rsid w:val="1CD06430"/>
    <w:rsid w:val="1D0633AC"/>
    <w:rsid w:val="1D7C2114"/>
    <w:rsid w:val="1DC6338F"/>
    <w:rsid w:val="1E2B2A05"/>
    <w:rsid w:val="1F3D58D3"/>
    <w:rsid w:val="1F7A6B27"/>
    <w:rsid w:val="1FEF4E1F"/>
    <w:rsid w:val="20362A4E"/>
    <w:rsid w:val="206610EC"/>
    <w:rsid w:val="20BD4F1E"/>
    <w:rsid w:val="210C0BD3"/>
    <w:rsid w:val="217750CC"/>
    <w:rsid w:val="22EE13BE"/>
    <w:rsid w:val="230F7587"/>
    <w:rsid w:val="23425BAE"/>
    <w:rsid w:val="237B43B6"/>
    <w:rsid w:val="240E1384"/>
    <w:rsid w:val="245C67FB"/>
    <w:rsid w:val="24AD7A37"/>
    <w:rsid w:val="24C3414B"/>
    <w:rsid w:val="254554E2"/>
    <w:rsid w:val="25AB17E9"/>
    <w:rsid w:val="25AB2D3E"/>
    <w:rsid w:val="26DE10B1"/>
    <w:rsid w:val="277A5916"/>
    <w:rsid w:val="279D5D66"/>
    <w:rsid w:val="28090A48"/>
    <w:rsid w:val="28620159"/>
    <w:rsid w:val="28991DCC"/>
    <w:rsid w:val="28D728F5"/>
    <w:rsid w:val="28F43A72"/>
    <w:rsid w:val="29746395"/>
    <w:rsid w:val="298D54D2"/>
    <w:rsid w:val="2A337FFE"/>
    <w:rsid w:val="2AA902C1"/>
    <w:rsid w:val="2AE57D07"/>
    <w:rsid w:val="2AF07C9E"/>
    <w:rsid w:val="2B514BE0"/>
    <w:rsid w:val="2BCA6741"/>
    <w:rsid w:val="2BCE7FDF"/>
    <w:rsid w:val="2BE148DF"/>
    <w:rsid w:val="2CC969F8"/>
    <w:rsid w:val="2D240882"/>
    <w:rsid w:val="2D960FD0"/>
    <w:rsid w:val="2E222864"/>
    <w:rsid w:val="2EB76CF2"/>
    <w:rsid w:val="2F326AD7"/>
    <w:rsid w:val="2FD951A4"/>
    <w:rsid w:val="30AD0348"/>
    <w:rsid w:val="30BF6B2B"/>
    <w:rsid w:val="30DC4F4C"/>
    <w:rsid w:val="31552F50"/>
    <w:rsid w:val="319F0496"/>
    <w:rsid w:val="334679B5"/>
    <w:rsid w:val="33B90A8E"/>
    <w:rsid w:val="33F27BDD"/>
    <w:rsid w:val="3430350B"/>
    <w:rsid w:val="34710119"/>
    <w:rsid w:val="34F309DB"/>
    <w:rsid w:val="351D1FD7"/>
    <w:rsid w:val="353C06AF"/>
    <w:rsid w:val="357C0AAC"/>
    <w:rsid w:val="3612197B"/>
    <w:rsid w:val="36727022"/>
    <w:rsid w:val="36A07989"/>
    <w:rsid w:val="37AD7642"/>
    <w:rsid w:val="38675A43"/>
    <w:rsid w:val="3A085004"/>
    <w:rsid w:val="3A881CA1"/>
    <w:rsid w:val="3A95616C"/>
    <w:rsid w:val="3AD60C5E"/>
    <w:rsid w:val="3AF11EE4"/>
    <w:rsid w:val="3B0E03F8"/>
    <w:rsid w:val="3B9775C8"/>
    <w:rsid w:val="3BB56AC5"/>
    <w:rsid w:val="3C0B4937"/>
    <w:rsid w:val="3C221C81"/>
    <w:rsid w:val="3D2A5291"/>
    <w:rsid w:val="3D934BE4"/>
    <w:rsid w:val="3E1C65F6"/>
    <w:rsid w:val="3E864749"/>
    <w:rsid w:val="3F3B5533"/>
    <w:rsid w:val="3F4A5777"/>
    <w:rsid w:val="40624D42"/>
    <w:rsid w:val="409D1EB1"/>
    <w:rsid w:val="40E57E4D"/>
    <w:rsid w:val="40EF2A79"/>
    <w:rsid w:val="41676DB0"/>
    <w:rsid w:val="42980EEF"/>
    <w:rsid w:val="42C6780A"/>
    <w:rsid w:val="431D1B9C"/>
    <w:rsid w:val="43C401ED"/>
    <w:rsid w:val="43EF4B3E"/>
    <w:rsid w:val="447D039C"/>
    <w:rsid w:val="449556E6"/>
    <w:rsid w:val="44A616A1"/>
    <w:rsid w:val="4504286C"/>
    <w:rsid w:val="451A5BEB"/>
    <w:rsid w:val="45261FDD"/>
    <w:rsid w:val="453749EF"/>
    <w:rsid w:val="454F3AE7"/>
    <w:rsid w:val="460C7B52"/>
    <w:rsid w:val="462A00B0"/>
    <w:rsid w:val="46C6427C"/>
    <w:rsid w:val="472701DB"/>
    <w:rsid w:val="477E06B3"/>
    <w:rsid w:val="478F0B12"/>
    <w:rsid w:val="479559FD"/>
    <w:rsid w:val="47FB7847"/>
    <w:rsid w:val="483E6094"/>
    <w:rsid w:val="48B843DB"/>
    <w:rsid w:val="49213B85"/>
    <w:rsid w:val="4957740E"/>
    <w:rsid w:val="4A657908"/>
    <w:rsid w:val="4B490FD8"/>
    <w:rsid w:val="4B83273C"/>
    <w:rsid w:val="4BB5666E"/>
    <w:rsid w:val="4BD42F98"/>
    <w:rsid w:val="4C291EF2"/>
    <w:rsid w:val="4C624F86"/>
    <w:rsid w:val="4CEF57C6"/>
    <w:rsid w:val="4D8E364A"/>
    <w:rsid w:val="4DB210B7"/>
    <w:rsid w:val="4DBA440F"/>
    <w:rsid w:val="4E1A6C5C"/>
    <w:rsid w:val="4E4168DE"/>
    <w:rsid w:val="4E81291C"/>
    <w:rsid w:val="4EC372F3"/>
    <w:rsid w:val="501C4F0D"/>
    <w:rsid w:val="505E72D4"/>
    <w:rsid w:val="50707007"/>
    <w:rsid w:val="50B6345C"/>
    <w:rsid w:val="511931FB"/>
    <w:rsid w:val="516B614C"/>
    <w:rsid w:val="516E081B"/>
    <w:rsid w:val="522F7FB0"/>
    <w:rsid w:val="52691F60"/>
    <w:rsid w:val="52D7511B"/>
    <w:rsid w:val="53277E51"/>
    <w:rsid w:val="53FF7741"/>
    <w:rsid w:val="54332825"/>
    <w:rsid w:val="5495703C"/>
    <w:rsid w:val="54EB4EAE"/>
    <w:rsid w:val="5523289A"/>
    <w:rsid w:val="55572544"/>
    <w:rsid w:val="5583300A"/>
    <w:rsid w:val="566C201F"/>
    <w:rsid w:val="575F252E"/>
    <w:rsid w:val="57CD4D3F"/>
    <w:rsid w:val="57EF4CB5"/>
    <w:rsid w:val="581806B0"/>
    <w:rsid w:val="58A837E2"/>
    <w:rsid w:val="59212170"/>
    <w:rsid w:val="59A34890"/>
    <w:rsid w:val="59EB70C6"/>
    <w:rsid w:val="5A0A5DD6"/>
    <w:rsid w:val="5A5A6D5E"/>
    <w:rsid w:val="5B68667D"/>
    <w:rsid w:val="5B6A2FD1"/>
    <w:rsid w:val="5C3A6E47"/>
    <w:rsid w:val="5CA02A22"/>
    <w:rsid w:val="5E224037"/>
    <w:rsid w:val="5E3730AA"/>
    <w:rsid w:val="5F1A4D0E"/>
    <w:rsid w:val="5F4E053E"/>
    <w:rsid w:val="60675D31"/>
    <w:rsid w:val="607641C6"/>
    <w:rsid w:val="63B76FCF"/>
    <w:rsid w:val="64275B83"/>
    <w:rsid w:val="643F18F7"/>
    <w:rsid w:val="652A1A23"/>
    <w:rsid w:val="65A92B46"/>
    <w:rsid w:val="65B7603D"/>
    <w:rsid w:val="65EB7404"/>
    <w:rsid w:val="665E7BD6"/>
    <w:rsid w:val="66726ABF"/>
    <w:rsid w:val="66FB5425"/>
    <w:rsid w:val="670939D3"/>
    <w:rsid w:val="672A3F5C"/>
    <w:rsid w:val="67397CFB"/>
    <w:rsid w:val="67D0240D"/>
    <w:rsid w:val="67D12771"/>
    <w:rsid w:val="68234ABD"/>
    <w:rsid w:val="683706DE"/>
    <w:rsid w:val="68923B67"/>
    <w:rsid w:val="68FC5484"/>
    <w:rsid w:val="6B286A04"/>
    <w:rsid w:val="6B317667"/>
    <w:rsid w:val="6BD34BC2"/>
    <w:rsid w:val="6BFA2657"/>
    <w:rsid w:val="6C0E1756"/>
    <w:rsid w:val="6CD81097"/>
    <w:rsid w:val="6D0768D5"/>
    <w:rsid w:val="6D7D4DE5"/>
    <w:rsid w:val="6DDB5FB0"/>
    <w:rsid w:val="6DDD3ABE"/>
    <w:rsid w:val="6E8201DA"/>
    <w:rsid w:val="6E892694"/>
    <w:rsid w:val="6EED27EB"/>
    <w:rsid w:val="707B75D6"/>
    <w:rsid w:val="70AD3C34"/>
    <w:rsid w:val="70EE5FFA"/>
    <w:rsid w:val="70F729E3"/>
    <w:rsid w:val="719C5A56"/>
    <w:rsid w:val="71EC078C"/>
    <w:rsid w:val="71FB452B"/>
    <w:rsid w:val="723143F0"/>
    <w:rsid w:val="725B1598"/>
    <w:rsid w:val="726C71D7"/>
    <w:rsid w:val="72F26881"/>
    <w:rsid w:val="73052C76"/>
    <w:rsid w:val="731A3774"/>
    <w:rsid w:val="73514611"/>
    <w:rsid w:val="73B54BAD"/>
    <w:rsid w:val="73CF388E"/>
    <w:rsid w:val="74493C73"/>
    <w:rsid w:val="753A35BC"/>
    <w:rsid w:val="75722D56"/>
    <w:rsid w:val="75740EEC"/>
    <w:rsid w:val="75B91E9A"/>
    <w:rsid w:val="75D02172"/>
    <w:rsid w:val="763C5112"/>
    <w:rsid w:val="76B80C3C"/>
    <w:rsid w:val="76D61879"/>
    <w:rsid w:val="76F1414E"/>
    <w:rsid w:val="771542E1"/>
    <w:rsid w:val="77253DF8"/>
    <w:rsid w:val="77444BC6"/>
    <w:rsid w:val="775841CD"/>
    <w:rsid w:val="77E51F05"/>
    <w:rsid w:val="77F2017E"/>
    <w:rsid w:val="782C21D0"/>
    <w:rsid w:val="78E0447A"/>
    <w:rsid w:val="795D1F6F"/>
    <w:rsid w:val="796C3F60"/>
    <w:rsid w:val="7A34668D"/>
    <w:rsid w:val="7A665625"/>
    <w:rsid w:val="7A7641BE"/>
    <w:rsid w:val="7B4D0916"/>
    <w:rsid w:val="7B9A3620"/>
    <w:rsid w:val="7C686C61"/>
    <w:rsid w:val="7C72226B"/>
    <w:rsid w:val="7D146DE8"/>
    <w:rsid w:val="7D3227F0"/>
    <w:rsid w:val="7D8C4BD1"/>
    <w:rsid w:val="7DE20C95"/>
    <w:rsid w:val="7E5F4093"/>
    <w:rsid w:val="7E885398"/>
    <w:rsid w:val="7E970148"/>
    <w:rsid w:val="7EAF501B"/>
    <w:rsid w:val="7EBF3788"/>
    <w:rsid w:val="7F192494"/>
    <w:rsid w:val="7F572FBC"/>
    <w:rsid w:val="7FB1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autoRedefine/>
    <w:qFormat/>
    <w:uiPriority w:val="0"/>
    <w:rPr>
      <w:i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1">
    <w:name w:val="批注框文本 Char"/>
    <w:basedOn w:val="8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533</Words>
  <Characters>926</Characters>
  <Lines>12</Lines>
  <Paragraphs>3</Paragraphs>
  <TotalTime>3</TotalTime>
  <ScaleCrop>false</ScaleCrop>
  <LinksUpToDate>false</LinksUpToDate>
  <CharactersWithSpaces>1032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2024-05-11T05:57:00Z</dcterms:created>
  <dc:creator>admin</dc:creator>
  <cp:lastModifiedBy>凯文</cp:lastModifiedBy>
  <cp:lastPrinted>2024-04-10T07:40:00Z</cp:lastPrinted>
  <dcterms:modified xsi:type="dcterms:W3CDTF">2025-03-06T13:11:30Z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488DDF299E0E41D48268A235DB05C786_13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