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3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7D1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T7 RNA polymerase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产品说明书</w:t>
      </w:r>
    </w:p>
    <w:p w14:paraId="2345F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12E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4BE9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6D64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2BDA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F15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42CB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T7 RNA polymerase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, 200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U/μL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048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03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10,000 U</w:t>
            </w:r>
          </w:p>
        </w:tc>
      </w:tr>
      <w:tr w14:paraId="7227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2CE6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D82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61DC9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20,000 U</w:t>
            </w:r>
          </w:p>
        </w:tc>
      </w:tr>
      <w:tr w14:paraId="5EDB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C43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9805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BE6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40,000 U</w:t>
            </w:r>
          </w:p>
        </w:tc>
      </w:tr>
      <w:tr w14:paraId="28D1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FF1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944A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2F8C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10,0000 U</w:t>
            </w:r>
          </w:p>
        </w:tc>
      </w:tr>
    </w:tbl>
    <w:p w14:paraId="04799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98D9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20D1A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T7 RNA Polymerase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重组E.coli表达的噬菌体T7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聚合酶基因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编码的蛋白，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能够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特异性识别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模板DNA的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T7启动子序列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，起始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DNA依赖的5'→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3' RNA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合成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。本品以含有T7启动子的单链或双链DNA为模板，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NTP为底物，可合成与启动子下游的单链DNA或双链DNA模板链互补的RNA。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</w:rPr>
        <w:t xml:space="preserve">线性平末端或 5’突出末端 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双链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</w:rPr>
        <w:t xml:space="preserve">DNA均可作为 T7 RNA 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Polymerase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</w:rPr>
        <w:t>的底物模板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品为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GMP级产品，为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无色透明溶液，经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不含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DNA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酶、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RNA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酶污染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，并且宿主核酸残留检测符合标准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DB6E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CE6C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555"/>
      </w:tblGrid>
      <w:tr w14:paraId="0AAC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2389C8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55" w:type="dxa"/>
          </w:tcPr>
          <w:p w14:paraId="5C4064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T7 RNA polymerase</w:t>
            </w:r>
          </w:p>
        </w:tc>
      </w:tr>
      <w:tr w14:paraId="5970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434285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555" w:type="dxa"/>
          </w:tcPr>
          <w:p w14:paraId="52B221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重组E.coli</w:t>
            </w:r>
          </w:p>
        </w:tc>
      </w:tr>
      <w:tr w14:paraId="7B6F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406977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555" w:type="dxa"/>
          </w:tcPr>
          <w:p w14:paraId="4E68E5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在 </w:t>
            </w:r>
            <w:bookmarkStart w:id="0" w:name="OLE_LINK2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37℃</w:t>
            </w:r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条件下，1 h内使1 nmol 的[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H]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ATP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掺入酸不溶性沉淀物所需要的酶量定义为 1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543A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570819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555" w:type="dxa"/>
          </w:tcPr>
          <w:p w14:paraId="0EB85D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 mM Tris-HCl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 mM NaCl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 mM EDTA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 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DTT,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0.1% Triton X-100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甘油,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pH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8.0</w:t>
            </w:r>
          </w:p>
        </w:tc>
      </w:tr>
      <w:tr w14:paraId="321A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2773A7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555" w:type="dxa"/>
          </w:tcPr>
          <w:p w14:paraId="53EE99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℃</w:t>
            </w:r>
          </w:p>
        </w:tc>
      </w:tr>
    </w:tbl>
    <w:p w14:paraId="54899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DBA4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4169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1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0D991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7155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产品适用范围</w:t>
      </w:r>
    </w:p>
    <w:p w14:paraId="52925B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单链RNA合成，如mRNA,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siRNA,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gRNA等各类RNA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类型</w:t>
      </w:r>
    </w:p>
    <w:p w14:paraId="553F14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同位素标记或非同位素标记的RNA探针</w:t>
      </w:r>
    </w:p>
    <w:p w14:paraId="0C6077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共转录加帽法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合成加帽mRNA</w:t>
      </w:r>
    </w:p>
    <w:p w14:paraId="434EE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F9DD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反应体系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举例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2222"/>
        <w:gridCol w:w="2033"/>
      </w:tblGrid>
      <w:tr w14:paraId="4BC807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bottom w:val="single" w:color="000000" w:sz="4" w:space="0"/>
              <w:tl2br w:val="nil"/>
              <w:tr2bl w:val="nil"/>
            </w:tcBorders>
          </w:tcPr>
          <w:p w14:paraId="23FE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组分</w:t>
            </w:r>
          </w:p>
        </w:tc>
        <w:tc>
          <w:tcPr>
            <w:tcW w:w="2222" w:type="dxa"/>
            <w:tcBorders>
              <w:bottom w:val="single" w:color="000000" w:sz="4" w:space="0"/>
              <w:tl2br w:val="nil"/>
              <w:tr2bl w:val="nil"/>
            </w:tcBorders>
          </w:tcPr>
          <w:p w14:paraId="7EB6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体积（μL）</w:t>
            </w:r>
          </w:p>
        </w:tc>
        <w:tc>
          <w:tcPr>
            <w:tcW w:w="2033" w:type="dxa"/>
            <w:tcBorders>
              <w:bottom w:val="single" w:color="000000" w:sz="4" w:space="0"/>
              <w:tl2br w:val="nil"/>
              <w:tr2bl w:val="nil"/>
            </w:tcBorders>
          </w:tcPr>
          <w:p w14:paraId="3807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终浓度</w:t>
            </w:r>
          </w:p>
        </w:tc>
      </w:tr>
      <w:tr w14:paraId="6E872E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single" w:color="000000" w:sz="4" w:space="0"/>
              <w:bottom w:val="nil"/>
            </w:tcBorders>
          </w:tcPr>
          <w:p w14:paraId="223E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Transcription Buffer</w:t>
            </w:r>
          </w:p>
        </w:tc>
        <w:tc>
          <w:tcPr>
            <w:tcW w:w="2222" w:type="dxa"/>
            <w:tcBorders>
              <w:top w:val="single" w:color="000000" w:sz="4" w:space="0"/>
              <w:bottom w:val="nil"/>
            </w:tcBorders>
          </w:tcPr>
          <w:p w14:paraId="31F0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bottom w:val="nil"/>
            </w:tcBorders>
          </w:tcPr>
          <w:p w14:paraId="544A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1×</w:t>
            </w:r>
          </w:p>
        </w:tc>
      </w:tr>
      <w:tr w14:paraId="3326C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4EF9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CTP/GTP/ATP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UTP (100 mM each)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046FB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1~2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each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1073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5~10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mM each</w:t>
            </w:r>
          </w:p>
        </w:tc>
      </w:tr>
      <w:tr w14:paraId="565906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3206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T7 RNA Polymerase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U/μL)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77F00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0.5~2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5A4EA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~20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U/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</w:tr>
      <w:tr w14:paraId="5A014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4B2F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模板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DNA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3856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~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g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51A8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 xml:space="preserve"> 50 ng/μl</w:t>
            </w:r>
          </w:p>
        </w:tc>
      </w:tr>
      <w:tr w14:paraId="30045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tl2br w:val="nil"/>
              <w:tr2bl w:val="nil"/>
            </w:tcBorders>
          </w:tcPr>
          <w:p w14:paraId="68C1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RNase free 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O</w:t>
            </w:r>
          </w:p>
        </w:tc>
        <w:tc>
          <w:tcPr>
            <w:tcW w:w="2222" w:type="dxa"/>
            <w:tcBorders>
              <w:top w:val="nil"/>
              <w:tl2br w:val="nil"/>
              <w:tr2bl w:val="nil"/>
            </w:tcBorders>
          </w:tcPr>
          <w:p w14:paraId="44072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Up to 20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  <w:tc>
          <w:tcPr>
            <w:tcW w:w="2033" w:type="dxa"/>
            <w:tcBorders>
              <w:top w:val="nil"/>
              <w:tl2br w:val="nil"/>
              <w:tr2bl w:val="nil"/>
            </w:tcBorders>
          </w:tcPr>
          <w:p w14:paraId="1AD76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</w:tr>
    </w:tbl>
    <w:p w14:paraId="2B38D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8BEF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注意事项</w:t>
      </w:r>
    </w:p>
    <w:p w14:paraId="0C1A8F3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模板DNA的纯度对体外转录反应至关重要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建议使用OD260/280为1.8 - 2.0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075B4F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6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的高纯度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RNase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free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的线性化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质粒。 </w:t>
      </w:r>
    </w:p>
    <w:p w14:paraId="00C79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2. 模板DNA上游需含有T7启动子序列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协助起始反应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。 </w:t>
      </w:r>
    </w:p>
    <w:p w14:paraId="4588A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3. 反应体系中可添加RNA酶抑制剂防止RNas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e降解RNA产物。</w:t>
      </w:r>
    </w:p>
    <w:p w14:paraId="1752A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4. 反应体系中添加无机焦磷酸酶可显著提高转录产量。</w:t>
      </w:r>
    </w:p>
    <w:p w14:paraId="22C67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5. 反应体系中T7 RNA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Polymerase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酶量可根据实际情况进行优化调整。</w:t>
      </w:r>
    </w:p>
    <w:p w14:paraId="07C6A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6. 操作时使用无核酸酶的枪头及耗材。 </w:t>
      </w:r>
    </w:p>
    <w:p w14:paraId="45FA5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7CEAE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26AE69E5">
      <w:pPr>
        <w:bidi w:val="0"/>
        <w:rPr>
          <w:rFonts w:hint="default"/>
          <w:lang w:val="en-US" w:eastAsia="zh-CN"/>
        </w:rPr>
      </w:pPr>
    </w:p>
    <w:p w14:paraId="3CF1CEA6">
      <w:pPr>
        <w:bidi w:val="0"/>
        <w:rPr>
          <w:rFonts w:hint="default"/>
          <w:lang w:val="en-US" w:eastAsia="zh-CN"/>
        </w:rPr>
      </w:pPr>
      <w:bookmarkStart w:id="2" w:name="_GoBack"/>
      <w:bookmarkEnd w:id="2"/>
    </w:p>
    <w:p w14:paraId="21C58C3B">
      <w:pPr>
        <w:bidi w:val="0"/>
        <w:rPr>
          <w:rFonts w:hint="default"/>
          <w:lang w:val="en-US" w:eastAsia="zh-CN"/>
        </w:rPr>
      </w:pPr>
    </w:p>
    <w:p w14:paraId="710B57F1">
      <w:pPr>
        <w:bidi w:val="0"/>
        <w:rPr>
          <w:rFonts w:hint="default"/>
          <w:lang w:val="en-US" w:eastAsia="zh-CN"/>
        </w:rPr>
      </w:pPr>
    </w:p>
    <w:p w14:paraId="13175C92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BC26">
    <w:pPr>
      <w:bidi w:val="0"/>
      <w:rPr>
        <w:rFonts w:hint="default"/>
        <w:lang w:val="en-US" w:eastAsia="zh-CN"/>
      </w:rPr>
    </w:pPr>
  </w:p>
  <w:p w14:paraId="522177C2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  </w:t>
    </w:r>
  </w:p>
  <w:p w14:paraId="5B71DC6C">
    <w:pPr>
      <w:pStyle w:val="3"/>
      <w:ind w:firstLine="360" w:firstLineChars="200"/>
      <w:jc w:val="center"/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Sales@PerfectmRNA.com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5C1CA1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0DF2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6AE5EDB9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492DF"/>
    <w:multiLevelType w:val="singleLevel"/>
    <w:tmpl w:val="A72492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0B198A"/>
    <w:multiLevelType w:val="singleLevel"/>
    <w:tmpl w:val="C90B19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WU2OTFiM2M1NzRmMzUwOTExMzdiNmVlOWVmY2YifQ=="/>
  </w:docVars>
  <w:rsids>
    <w:rsidRoot w:val="00000000"/>
    <w:rsid w:val="066535A6"/>
    <w:rsid w:val="07A309B0"/>
    <w:rsid w:val="07BA233A"/>
    <w:rsid w:val="0E8A68C3"/>
    <w:rsid w:val="0F8C278D"/>
    <w:rsid w:val="113066C1"/>
    <w:rsid w:val="13B0325D"/>
    <w:rsid w:val="154E31D5"/>
    <w:rsid w:val="1F29007A"/>
    <w:rsid w:val="1FB64C73"/>
    <w:rsid w:val="231B6560"/>
    <w:rsid w:val="25C2499F"/>
    <w:rsid w:val="28522B8D"/>
    <w:rsid w:val="2E422F06"/>
    <w:rsid w:val="316D3DF6"/>
    <w:rsid w:val="35044A71"/>
    <w:rsid w:val="35D501BC"/>
    <w:rsid w:val="388D4D7E"/>
    <w:rsid w:val="391F6666"/>
    <w:rsid w:val="39E032BD"/>
    <w:rsid w:val="3D4A7CDD"/>
    <w:rsid w:val="3F211E87"/>
    <w:rsid w:val="489D335A"/>
    <w:rsid w:val="48A506C9"/>
    <w:rsid w:val="4A866445"/>
    <w:rsid w:val="4B571947"/>
    <w:rsid w:val="4B694A19"/>
    <w:rsid w:val="50A82E4A"/>
    <w:rsid w:val="50F11B59"/>
    <w:rsid w:val="54B90E10"/>
    <w:rsid w:val="56D368BE"/>
    <w:rsid w:val="5726041F"/>
    <w:rsid w:val="577F2A3B"/>
    <w:rsid w:val="5A353A23"/>
    <w:rsid w:val="659770B8"/>
    <w:rsid w:val="66C73E62"/>
    <w:rsid w:val="69410F49"/>
    <w:rsid w:val="69F04FE9"/>
    <w:rsid w:val="6BD66B78"/>
    <w:rsid w:val="6F1D650D"/>
    <w:rsid w:val="755A0A19"/>
    <w:rsid w:val="75B91E9A"/>
    <w:rsid w:val="795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991</Characters>
  <Lines>0</Lines>
  <Paragraphs>0</Paragraphs>
  <TotalTime>0</TotalTime>
  <ScaleCrop>false</ScaleCrop>
  <LinksUpToDate>false</LinksUpToDate>
  <CharactersWithSpaces>1082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2025-03-05T05:00:36Z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32831CADFC65467D88A1FE6D2EDBBB07_13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