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DACA4">
      <w:pPr>
        <w:ind w:firstLine="0" w:firstLineChars="0"/>
        <w:jc w:val="center"/>
        <w:outlineLvl w:val="0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  <w:bookmarkStart w:id="0" w:name="_Toc8250"/>
    </w:p>
    <w:p w14:paraId="12A94B14">
      <w:pPr>
        <w:ind w:firstLine="0" w:firstLineChars="0"/>
        <w:jc w:val="center"/>
        <w:outlineLvl w:val="0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4853F55C">
      <w:pPr>
        <w:ind w:firstLine="0" w:firstLineChars="0"/>
        <w:jc w:val="center"/>
        <w:outlineLvl w:val="0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5D8D50B9">
      <w:pPr>
        <w:ind w:firstLine="0" w:firstLineChars="0"/>
        <w:jc w:val="center"/>
        <w:outlineLvl w:val="0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3CCFD145">
      <w:pPr>
        <w:ind w:firstLine="0" w:firstLineChars="0"/>
        <w:jc w:val="center"/>
        <w:outlineLvl w:val="0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3AC89F0F">
      <w:pPr>
        <w:ind w:firstLine="0" w:firstLineChars="0"/>
        <w:jc w:val="center"/>
        <w:outlineLvl w:val="0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19682340">
      <w:pPr>
        <w:ind w:firstLine="0" w:firstLineChars="0"/>
        <w:jc w:val="center"/>
        <w:outlineLvl w:val="0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2E06E6D8">
      <w:pPr>
        <w:ind w:firstLine="0" w:firstLineChars="0"/>
        <w:jc w:val="center"/>
        <w:outlineLvl w:val="0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75B4BF37">
      <w:pPr>
        <w:ind w:firstLine="0" w:firstLineChars="0"/>
        <w:jc w:val="center"/>
        <w:outlineLvl w:val="0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  <w:t>T7 高产率 RNA 转录试剂盒</w:t>
      </w:r>
    </w:p>
    <w:p w14:paraId="3E07D988">
      <w:pPr>
        <w:jc w:val="center"/>
        <w:outlineLvl w:val="0"/>
        <w:rPr>
          <w:rFonts w:hint="default" w:ascii="Times New Roman" w:hAnsi="Times New Roman" w:eastAsia="宋体" w:cs="Times New Roman"/>
          <w:b/>
          <w:sz w:val="44"/>
          <w:szCs w:val="4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sz w:val="44"/>
          <w:szCs w:val="44"/>
          <w:lang w:val="fr-FR"/>
        </w:rPr>
        <w:t>使用说明书</w:t>
      </w:r>
      <w:bookmarkEnd w:id="0"/>
    </w:p>
    <w:p w14:paraId="1C79DEEF"/>
    <w:p w14:paraId="1DC4BEC6"/>
    <w:p w14:paraId="1269C624"/>
    <w:p w14:paraId="1A516287"/>
    <w:p w14:paraId="4651D52B"/>
    <w:p w14:paraId="374D068E"/>
    <w:p w14:paraId="5EBDB1A3"/>
    <w:p w14:paraId="0A3AA64F"/>
    <w:p w14:paraId="4E4104DF"/>
    <w:p w14:paraId="274006F3"/>
    <w:p w14:paraId="63D536D7"/>
    <w:p w14:paraId="11A33E9A"/>
    <w:p w14:paraId="734A66D1"/>
    <w:p w14:paraId="34EC6C77"/>
    <w:p w14:paraId="68DBC978"/>
    <w:p w14:paraId="2ACF84B2"/>
    <w:p w14:paraId="3892AF9C"/>
    <w:p w14:paraId="7500B6C5"/>
    <w:p w14:paraId="192A14D9"/>
    <w:p w14:paraId="4C87BFB9"/>
    <w:p w14:paraId="237F8BB3"/>
    <w:p w14:paraId="54E342FB"/>
    <w:p w14:paraId="5DC11F6B"/>
    <w:p w14:paraId="2E07B777"/>
    <w:p w14:paraId="1D0697E5">
      <w:pPr>
        <w:spacing w:after="157" w:afterLines="50"/>
        <w:jc w:val="both"/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</w:pPr>
      <w:bookmarkStart w:id="1" w:name="_Toc8747"/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>01 产品信息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6"/>
        <w:gridCol w:w="2024"/>
        <w:gridCol w:w="2766"/>
      </w:tblGrid>
      <w:tr w14:paraId="56A34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06" w:type="dxa"/>
          </w:tcPr>
          <w:p w14:paraId="4E6EEB3E">
            <w:pPr>
              <w:ind w:firstLine="402" w:firstLineChars="200"/>
              <w:jc w:val="both"/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  <w:t>产品名称</w:t>
            </w:r>
          </w:p>
        </w:tc>
        <w:tc>
          <w:tcPr>
            <w:tcW w:w="2024" w:type="dxa"/>
          </w:tcPr>
          <w:p w14:paraId="3535E9B4">
            <w:pPr>
              <w:jc w:val="center"/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  <w:t>货号</w:t>
            </w:r>
          </w:p>
        </w:tc>
        <w:tc>
          <w:tcPr>
            <w:tcW w:w="2766" w:type="dxa"/>
          </w:tcPr>
          <w:p w14:paraId="669397A0">
            <w:pPr>
              <w:jc w:val="center"/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  <w:t>规格</w:t>
            </w:r>
          </w:p>
        </w:tc>
      </w:tr>
      <w:tr w14:paraId="3A354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3506" w:type="dxa"/>
            <w:vMerge w:val="restart"/>
            <w:vAlign w:val="center"/>
          </w:tcPr>
          <w:p w14:paraId="51FB3F57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T7 高产率 RNA </w:t>
            </w:r>
            <w:bookmarkStart w:id="11" w:name="_GoBack"/>
            <w:bookmarkEnd w:id="11"/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转录试剂盒 </w:t>
            </w:r>
          </w:p>
        </w:tc>
        <w:tc>
          <w:tcPr>
            <w:tcW w:w="2024" w:type="dxa"/>
          </w:tcPr>
          <w:p w14:paraId="0D8071A9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K10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A01</w:t>
            </w:r>
          </w:p>
        </w:tc>
        <w:tc>
          <w:tcPr>
            <w:tcW w:w="2766" w:type="dxa"/>
          </w:tcPr>
          <w:p w14:paraId="50456760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rxn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s</w:t>
            </w:r>
          </w:p>
        </w:tc>
      </w:tr>
      <w:tr w14:paraId="4782E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3506" w:type="dxa"/>
            <w:vMerge w:val="continue"/>
          </w:tcPr>
          <w:p w14:paraId="556CF19C">
            <w:pPr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024" w:type="dxa"/>
          </w:tcPr>
          <w:p w14:paraId="175B3563"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K10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A0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766" w:type="dxa"/>
          </w:tcPr>
          <w:p w14:paraId="28803411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rxn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s</w:t>
            </w:r>
          </w:p>
        </w:tc>
      </w:tr>
    </w:tbl>
    <w:p w14:paraId="27DD5BF6">
      <w:pPr>
        <w:jc w:val="both"/>
        <w:rPr>
          <w:rFonts w:hint="default" w:ascii="Times New Roman" w:hAnsi="Times New Roman" w:eastAsia="宋体" w:cs="Times New Roman"/>
          <w:b/>
          <w:sz w:val="20"/>
          <w:szCs w:val="20"/>
        </w:rPr>
      </w:pPr>
    </w:p>
    <w:p w14:paraId="0B3E583D">
      <w:pPr>
        <w:jc w:val="both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02 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产品描述</w:t>
      </w:r>
    </w:p>
    <w:p w14:paraId="285A87D3">
      <w:pPr>
        <w:jc w:val="both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本</w:t>
      </w:r>
      <w:r>
        <w:rPr>
          <w:rFonts w:hint="default" w:ascii="Times New Roman" w:hAnsi="Times New Roman" w:eastAsia="宋体" w:cs="Times New Roman"/>
          <w:sz w:val="20"/>
          <w:szCs w:val="20"/>
        </w:rPr>
        <w:t>试剂盒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可用于体外转录合成RNA。试剂盒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使用T7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Enzyme Mix</w:t>
      </w:r>
      <w:r>
        <w:rPr>
          <w:rFonts w:hint="default" w:ascii="Times New Roman" w:hAnsi="Times New Roman" w:eastAsia="宋体" w:cs="Times New Roman"/>
          <w:sz w:val="20"/>
          <w:szCs w:val="20"/>
        </w:rPr>
        <w:t>，以含有T7启动子序列的线性双链DNA为模板，NTP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z w:val="20"/>
          <w:szCs w:val="20"/>
        </w:rPr>
        <w:t>为底物对启动子下游DNA序列进行转录合成单链RNA。在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转录中</w:t>
      </w:r>
      <w:r>
        <w:rPr>
          <w:rFonts w:hint="default" w:ascii="Times New Roman" w:hAnsi="Times New Roman" w:eastAsia="宋体" w:cs="Times New Roman"/>
          <w:sz w:val="20"/>
          <w:szCs w:val="20"/>
        </w:rPr>
        <w:t>可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使用标记或者修饰的NTPs</w:t>
      </w:r>
      <w:r>
        <w:rPr>
          <w:rFonts w:hint="default" w:ascii="Times New Roman" w:hAnsi="Times New Roman" w:eastAsia="宋体" w:cs="Times New Roman"/>
          <w:sz w:val="20"/>
          <w:szCs w:val="20"/>
        </w:rPr>
        <w:t>为底物来制备生物素或染料标记的RNA。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使用</w:t>
      </w:r>
      <w:r>
        <w:rPr>
          <w:rFonts w:hint="default" w:ascii="Times New Roman" w:hAnsi="Times New Roman" w:eastAsia="宋体" w:cs="Times New Roman"/>
          <w:sz w:val="20"/>
          <w:szCs w:val="20"/>
        </w:rPr>
        <w:t>本试剂盒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sz w:val="20"/>
          <w:szCs w:val="20"/>
        </w:rPr>
        <w:t>1 μg的DNA模板投入可产生1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0</w:t>
      </w:r>
      <w:r>
        <w:rPr>
          <w:rFonts w:hint="default" w:ascii="Times New Roman" w:hAnsi="Times New Roman" w:eastAsia="宋体" w:cs="Times New Roman"/>
          <w:sz w:val="20"/>
          <w:szCs w:val="20"/>
        </w:rPr>
        <w:t>0-200 μg的RNA。转录合成的RNA可用于各种下游应用，如RNA的结构和功能研究</w:t>
      </w:r>
      <w:r>
        <w:rPr>
          <w:rFonts w:hint="eastAsia" w:ascii="Times New Roman" w:hAnsi="Times New Roman" w:eastAsia="宋体" w:cs="Times New Roman"/>
          <w:sz w:val="20"/>
          <w:szCs w:val="20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0"/>
          <w:szCs w:val="20"/>
        </w:rPr>
        <w:t>RNA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干扰</w:t>
      </w:r>
      <w:r>
        <w:rPr>
          <w:rFonts w:hint="default" w:ascii="Times New Roman" w:hAnsi="Times New Roman" w:eastAsia="宋体" w:cs="Times New Roman"/>
          <w:sz w:val="20"/>
          <w:szCs w:val="20"/>
        </w:rPr>
        <w:t>和体外翻译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研究</w:t>
      </w:r>
      <w:r>
        <w:rPr>
          <w:rFonts w:hint="default" w:ascii="Times New Roman" w:hAnsi="Times New Roman" w:eastAsia="宋体" w:cs="Times New Roman"/>
          <w:sz w:val="20"/>
          <w:szCs w:val="20"/>
        </w:rPr>
        <w:t>等。</w:t>
      </w:r>
    </w:p>
    <w:p w14:paraId="3CB6CBA8">
      <w:pPr>
        <w:jc w:val="both"/>
        <w:rPr>
          <w:rFonts w:hint="default" w:ascii="Times New Roman" w:hAnsi="Times New Roman" w:eastAsia="宋体" w:cs="Times New Roman"/>
          <w:sz w:val="20"/>
          <w:szCs w:val="20"/>
          <w:lang w:val="fr-FR"/>
        </w:rPr>
      </w:pPr>
    </w:p>
    <w:p w14:paraId="6EB3ACF1">
      <w:pPr>
        <w:jc w:val="both"/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>03 产品组分</w:t>
      </w:r>
    </w:p>
    <w:tbl>
      <w:tblPr>
        <w:tblStyle w:val="5"/>
        <w:tblW w:w="0" w:type="auto"/>
        <w:tblInd w:w="1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6"/>
        <w:gridCol w:w="2076"/>
        <w:gridCol w:w="2084"/>
      </w:tblGrid>
      <w:tr w14:paraId="25578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restart"/>
            <w:tcBorders>
              <w:left w:val="nil"/>
              <w:right w:val="nil"/>
            </w:tcBorders>
            <w:vAlign w:val="center"/>
          </w:tcPr>
          <w:p w14:paraId="62108554">
            <w:pPr>
              <w:ind w:leftChars="100"/>
              <w:jc w:val="center"/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  <w:t>组分</w:t>
            </w:r>
          </w:p>
        </w:tc>
        <w:tc>
          <w:tcPr>
            <w:tcW w:w="4160" w:type="dxa"/>
            <w:gridSpan w:val="2"/>
            <w:tcBorders>
              <w:left w:val="nil"/>
              <w:right w:val="nil"/>
            </w:tcBorders>
          </w:tcPr>
          <w:p w14:paraId="4D1FFE95">
            <w:pPr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0"/>
                <w:szCs w:val="20"/>
              </w:rPr>
              <w:t>货号</w:t>
            </w:r>
          </w:p>
        </w:tc>
      </w:tr>
      <w:tr w14:paraId="67029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 w14:paraId="7736BFBA">
            <w:pPr>
              <w:jc w:val="both"/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</w:pPr>
          </w:p>
        </w:tc>
        <w:tc>
          <w:tcPr>
            <w:tcW w:w="2076" w:type="dxa"/>
            <w:tcBorders>
              <w:left w:val="nil"/>
              <w:bottom w:val="single" w:color="auto" w:sz="4" w:space="0"/>
              <w:right w:val="nil"/>
            </w:tcBorders>
          </w:tcPr>
          <w:p w14:paraId="7AE8D6F7">
            <w:pPr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>K10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>A01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0"/>
                <w:szCs w:val="20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>rxn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s)</w:t>
            </w:r>
          </w:p>
        </w:tc>
        <w:tc>
          <w:tcPr>
            <w:tcW w:w="2084" w:type="dxa"/>
            <w:tcBorders>
              <w:left w:val="nil"/>
              <w:bottom w:val="single" w:color="auto" w:sz="4" w:space="0"/>
              <w:right w:val="nil"/>
            </w:tcBorders>
          </w:tcPr>
          <w:p w14:paraId="22F7BEBA">
            <w:pPr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>K10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>A0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>rxn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s)</w:t>
            </w:r>
          </w:p>
        </w:tc>
      </w:tr>
      <w:tr w14:paraId="3D044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0E966CF5">
            <w:pPr>
              <w:ind w:leftChars="10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T7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Enzyme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Mix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D379F1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FAA7DC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150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</w:tr>
      <w:tr w14:paraId="7F633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left w:val="nil"/>
              <w:bottom w:val="nil"/>
              <w:right w:val="nil"/>
            </w:tcBorders>
          </w:tcPr>
          <w:p w14:paraId="26AC9CEF">
            <w:pPr>
              <w:ind w:leftChars="10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×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Transcription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Buffer</w:t>
            </w:r>
          </w:p>
        </w:tc>
        <w:tc>
          <w:tcPr>
            <w:tcW w:w="2076" w:type="dxa"/>
            <w:tcBorders>
              <w:left w:val="nil"/>
              <w:bottom w:val="nil"/>
              <w:right w:val="nil"/>
            </w:tcBorders>
          </w:tcPr>
          <w:p w14:paraId="1A1926D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  <w:tc>
          <w:tcPr>
            <w:tcW w:w="2084" w:type="dxa"/>
            <w:tcBorders>
              <w:left w:val="nil"/>
              <w:bottom w:val="nil"/>
              <w:right w:val="nil"/>
            </w:tcBorders>
            <w:vAlign w:val="top"/>
          </w:tcPr>
          <w:p w14:paraId="70F9965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00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</w:tr>
      <w:tr w14:paraId="54F62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4F0D3595">
            <w:pPr>
              <w:ind w:leftChars="10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100mM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 ATP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577CE31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E5DBCF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</w:tr>
      <w:tr w14:paraId="6473D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1D497241">
            <w:pPr>
              <w:ind w:leftChars="10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100mM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 CTP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FFD8D1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5D24F1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</w:tr>
      <w:tr w14:paraId="09839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3209DD1E">
            <w:pPr>
              <w:ind w:leftChars="10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100mM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 GTP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530CCD5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A4EAB2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</w:tr>
      <w:tr w14:paraId="3FF24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059FE477">
            <w:pPr>
              <w:ind w:leftChars="10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100mM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 UTP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2F0A1439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399749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</w:tr>
      <w:tr w14:paraId="4510E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792BEEAA">
            <w:pPr>
              <w:ind w:leftChars="10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DNase I (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U/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  <w:t>μL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1BEE14A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ED8F66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μL</w:t>
            </w:r>
          </w:p>
        </w:tc>
      </w:tr>
      <w:tr w14:paraId="6C6AD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0ED2BAE0">
            <w:pPr>
              <w:ind w:leftChars="10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RNase-free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Water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645A7DC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>1 m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38DBA8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  <w:t>1 m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L</w:t>
            </w:r>
          </w:p>
        </w:tc>
      </w:tr>
      <w:tr w14:paraId="2CB6D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right w:val="nil"/>
            </w:tcBorders>
          </w:tcPr>
          <w:p w14:paraId="75E00F7A">
            <w:pPr>
              <w:ind w:leftChars="10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Control DNATemplate (0.4 ug/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  <w:t>μL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076" w:type="dxa"/>
            <w:tcBorders>
              <w:top w:val="nil"/>
              <w:left w:val="nil"/>
              <w:right w:val="nil"/>
            </w:tcBorders>
          </w:tcPr>
          <w:p w14:paraId="0E5B4E2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10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  <w:t>μL</w:t>
            </w:r>
          </w:p>
        </w:tc>
        <w:tc>
          <w:tcPr>
            <w:tcW w:w="2084" w:type="dxa"/>
            <w:tcBorders>
              <w:top w:val="nil"/>
              <w:left w:val="nil"/>
              <w:right w:val="nil"/>
            </w:tcBorders>
            <w:vAlign w:val="top"/>
          </w:tcPr>
          <w:p w14:paraId="7C39026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20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  <w:t>μL</w:t>
            </w:r>
          </w:p>
        </w:tc>
      </w:tr>
    </w:tbl>
    <w:p w14:paraId="7F9EFA19">
      <w:pPr>
        <w:pStyle w:val="7"/>
        <w:shd w:val="clear" w:color="auto" w:fill="FFFFFF"/>
        <w:spacing w:before="95" w:beforeLines="30" w:beforeAutospacing="0" w:after="0" w:afterAutospacing="0" w:line="315" w:lineRule="atLeast"/>
        <w:jc w:val="both"/>
        <w:rPr>
          <w:rFonts w:hint="default" w:ascii="Times New Roman" w:hAnsi="Times New Roman" w:eastAsia="宋体" w:cs="Times New Roman"/>
          <w:color w:val="101214"/>
          <w:sz w:val="18"/>
          <w:szCs w:val="18"/>
        </w:rPr>
      </w:pPr>
    </w:p>
    <w:p w14:paraId="56F80736">
      <w:pPr>
        <w:jc w:val="both"/>
        <w:outlineLvl w:val="9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04 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 xml:space="preserve">运输及储存 </w:t>
      </w:r>
    </w:p>
    <w:p w14:paraId="6E12E793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eastAsia="zh-CN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干冰运输。-20℃保存，两年有效期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eastAsia="zh-CN"/>
        </w:rPr>
        <w:t>。</w:t>
      </w:r>
    </w:p>
    <w:p w14:paraId="70425681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eastAsia="zh-CN"/>
        </w:rPr>
      </w:pPr>
    </w:p>
    <w:bookmarkEnd w:id="1"/>
    <w:p w14:paraId="7338B407">
      <w:pPr>
        <w:jc w:val="both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05 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实验流程</w:t>
      </w:r>
    </w:p>
    <w:p w14:paraId="00C34041">
      <w:pPr>
        <w:pStyle w:val="7"/>
        <w:numPr>
          <w:ilvl w:val="0"/>
          <w:numId w:val="0"/>
        </w:numPr>
        <w:shd w:val="clear" w:color="auto" w:fill="FFFFFF"/>
        <w:spacing w:before="0" w:beforeAutospacing="0" w:after="157" w:afterLines="50" w:afterAutospacing="0" w:line="33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eastAsia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  <w:t>1.</w:t>
      </w:r>
      <w:r>
        <w:rPr>
          <w:rStyle w:val="8"/>
          <w:rFonts w:hint="default" w:ascii="Times New Roman" w:hAnsi="Times New Roman" w:eastAsia="宋体" w:cs="Times New Roman"/>
          <w:b/>
          <w:bCs/>
          <w:color w:val="auto"/>
          <w:sz w:val="20"/>
          <w:szCs w:val="20"/>
        </w:rPr>
        <w:t xml:space="preserve">DNA模板制备 </w:t>
      </w:r>
    </w:p>
    <w:p w14:paraId="784ED364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left"/>
        <w:textAlignment w:val="auto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Fonts w:hint="default" w:ascii="Times New Roman" w:hAnsi="Times New Roman" w:eastAsia="宋体" w:cs="Times New Roman"/>
          <w:color w:val="101214"/>
          <w:sz w:val="20"/>
          <w:szCs w:val="20"/>
        </w:rPr>
        <w:t>带有双链T7启动子的线性化质粒或PCR扩增产物都可以作为体外转录模板，模板用RNase-free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 xml:space="preserve"> water</w:t>
      </w:r>
      <w:r>
        <w:rPr>
          <w:rFonts w:hint="default" w:ascii="Times New Roman" w:hAnsi="Times New Roman" w:eastAsia="宋体" w:cs="Times New Roman"/>
          <w:color w:val="101214"/>
          <w:sz w:val="20"/>
          <w:szCs w:val="20"/>
        </w:rPr>
        <w:t>溶解。</w:t>
      </w:r>
    </w:p>
    <w:p w14:paraId="037F4541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left"/>
        <w:textAlignment w:val="auto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T7启动子序列: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TAATACGACTCACTATAG*GG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 （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注: G*为RNA开始转录的第一个碱基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eastAsia="zh-CN"/>
        </w:rPr>
        <w:t>）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eastAsia="zh-CN"/>
        </w:rPr>
        <w:t>。</w:t>
      </w:r>
    </w:p>
    <w:p w14:paraId="7B4D4BBE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1.1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质粒模板</w:t>
      </w:r>
    </w:p>
    <w:p w14:paraId="7E4A1B6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  <w:lang w:val="en-US" w:eastAsia="zh-CN" w:bidi="ar-SA"/>
        </w:rPr>
        <w:t>带T7启动子的线性化可以作为转录模板，质粒的线性化和纯度会影响转录RNA产物的产量及完整性。环状质粒由于没有有效的终止，会转录出不同长度的RNA产物，为了得到特定长度的RNA，质粒必须完全线性化，线性化的质粒请确保双链为平末端或编码链5'端突出末端。质粒线性化后，建议</w:t>
      </w: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20"/>
          <w:szCs w:val="20"/>
          <w:lang w:val="en-US" w:eastAsia="zh-CN" w:bidi="ar-SA"/>
        </w:rPr>
        <w:t>线性质粒</w:t>
      </w: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  <w:lang w:val="en-US" w:eastAsia="zh-CN" w:bidi="ar-SA"/>
        </w:rPr>
        <w:t>模板</w:t>
      </w: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20"/>
          <w:szCs w:val="20"/>
          <w:lang w:val="en-US" w:eastAsia="zh-CN" w:bidi="ar-SA"/>
        </w:rPr>
        <w:t>进一步</w:t>
      </w: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  <w:lang w:val="en-US" w:eastAsia="zh-CN" w:bidi="ar-SA"/>
        </w:rPr>
        <w:t>纯化后体外转录，以避免RNase、蛋白及盐残留对</w:t>
      </w: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20"/>
          <w:szCs w:val="20"/>
          <w:lang w:val="en-US" w:eastAsia="zh-CN" w:bidi="ar-SA"/>
        </w:rPr>
        <w:t>转录</w:t>
      </w: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  <w:lang w:val="en-US" w:eastAsia="zh-CN" w:bidi="ar-SA"/>
        </w:rPr>
        <w:t>体系的影响。</w:t>
      </w:r>
    </w:p>
    <w:p w14:paraId="3282C9EE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1.2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PCR产物模板 </w:t>
      </w:r>
    </w:p>
    <w:p w14:paraId="1906ECE7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Style w:val="8"/>
          <w:rFonts w:hint="default" w:ascii="Times New Roman" w:hAnsi="Times New Roman" w:eastAsia="宋体" w:cs="Times New Roman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含有T7启动子的PCR产物可作为体外转录模板。PCR扩增模板时将T7启动子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eastAsia="zh-CN"/>
        </w:rPr>
        <w:t>（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TAATACGACT CACTATAGGG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eastAsia="zh-CN"/>
        </w:rPr>
        <w:t>）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加在非编码链的上游引物的5'端。PCR产物可以不经纯化直接作为模板，但纯化后会得到更高的RNA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产量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。为了获得更高质量的RNA，可将PCR产物用凝胶回收，再作为体外转录模板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eastAsia="zh-CN"/>
        </w:rPr>
        <w:t>。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 </w:t>
      </w:r>
    </w:p>
    <w:p w14:paraId="055CDE9B">
      <w:pPr>
        <w:jc w:val="both"/>
        <w:rPr>
          <w:rFonts w:hint="default" w:ascii="Times New Roman" w:hAnsi="Times New Roman" w:eastAsia="宋体" w:cs="Times New Roman"/>
          <w:b/>
          <w:sz w:val="20"/>
          <w:szCs w:val="20"/>
          <w:lang w:val="fr-FR"/>
        </w:rPr>
      </w:pPr>
    </w:p>
    <w:p w14:paraId="6B6A5EE9">
      <w:pPr>
        <w:pStyle w:val="7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outlineLvl w:val="0"/>
        <w:rPr>
          <w:rFonts w:hint="default" w:ascii="Times New Roman" w:hAnsi="Times New Roman" w:eastAsia="宋体" w:cs="Times New Roman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b/>
          <w:bCs/>
          <w:color w:val="auto"/>
          <w:sz w:val="20"/>
          <w:szCs w:val="20"/>
        </w:rPr>
        <w:t>体外转录</w:t>
      </w:r>
      <w:r>
        <w:rPr>
          <w:rFonts w:hint="default" w:ascii="Times New Roman" w:hAnsi="Times New Roman" w:eastAsia="宋体" w:cs="Times New Roman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262890</wp:posOffset>
                </wp:positionH>
                <wp:positionV relativeFrom="page">
                  <wp:posOffset>6576695</wp:posOffset>
                </wp:positionV>
                <wp:extent cx="126365" cy="77343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" cy="773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900BAB">
                            <w:pPr>
                              <w:spacing w:before="17"/>
                              <w:ind w:left="20"/>
                              <w:rPr>
                                <w:rFonts w:ascii="Tahoma"/>
                                <w:sz w:val="13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"http://www.vazyme.com/" \h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Tahoma"/>
                                <w:color w:val="FFFFFF"/>
                                <w:spacing w:val="-2"/>
                                <w:w w:val="115"/>
                                <w:sz w:val="13"/>
                              </w:rPr>
                              <w:t>www.vazyme.com</w:t>
                            </w:r>
                            <w:r>
                              <w:rPr>
                                <w:rFonts w:ascii="Tahoma"/>
                                <w:color w:val="FFFFFF"/>
                                <w:spacing w:val="-2"/>
                                <w:w w:val="115"/>
                                <w:sz w:val="1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.7pt;margin-top:517.85pt;height:60.9pt;width:9.95pt;mso-position-horizontal-relative:page;mso-position-vertical-relative:page;z-index:251660288;mso-width-relative:page;mso-height-relative:page;" filled="f" stroked="f" coordsize="21600,21600" o:gfxdata="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ojvkPbAAAACwEAAA8AAAAAAAAAAQAg&#10;AAAAIgAAAGRycy9kb3ducmV2LnhtbFBLAQIUABQAAAAIAIdO4kDHRthwCwIAAAQEAAAOAAAAAAAA&#10;AAEAIAAAACoBAABkcnMvZTJvRG9jLnhtbFBLBQYAAAAABgAGAFkBAACnBQAAAAA=&#10;">
                <v:fill on="f" focussize="0,0"/>
                <v:stroke on="f"/>
                <v:imagedata o:title=""/>
                <o:lock v:ext="edit" aspectratio="f"/>
                <v:textbox inset="0mm,0mm,0mm,0mm" style="layout-flow:vertical;">
                  <w:txbxContent>
                    <w:p w14:paraId="03900BAB">
                      <w:pPr>
                        <w:spacing w:before="17"/>
                        <w:ind w:left="20"/>
                        <w:rPr>
                          <w:rFonts w:ascii="Tahoma"/>
                          <w:sz w:val="13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"http://www.vazyme.com/" \h </w:instrText>
                      </w:r>
                      <w:r>
                        <w:fldChar w:fldCharType="separate"/>
                      </w:r>
                      <w:r>
                        <w:rPr>
                          <w:rFonts w:ascii="Tahoma"/>
                          <w:color w:val="FFFFFF"/>
                          <w:spacing w:val="-2"/>
                          <w:w w:val="115"/>
                          <w:sz w:val="13"/>
                        </w:rPr>
                        <w:t>www.vazyme.com</w:t>
                      </w:r>
                      <w:r>
                        <w:rPr>
                          <w:rFonts w:ascii="Tahoma"/>
                          <w:color w:val="FFFFFF"/>
                          <w:spacing w:val="-2"/>
                          <w:w w:val="115"/>
                          <w:sz w:val="13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4AA41B87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2.1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试剂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化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冻 </w:t>
      </w:r>
    </w:p>
    <w:p w14:paraId="463882D7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将T7 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Enzyme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en-US" w:eastAsia="zh-CN"/>
        </w:rPr>
        <w:t>Mix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短暂离心并置于冰上。解冻</w:t>
      </w:r>
      <w:r>
        <w:rPr>
          <w:rFonts w:hint="default" w:ascii="Times New Roman" w:hAnsi="Times New Roman" w:eastAsia="宋体" w:cs="Times New Roman"/>
          <w:sz w:val="20"/>
          <w:szCs w:val="20"/>
        </w:rPr>
        <w:t>10 × Transcription Buffer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、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ATP、GTP、CTP、UTP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，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并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短暂离心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eastAsia="zh-CN"/>
        </w:rPr>
        <w:t>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置于冰上。10× Transcription Buffer室温下放置。</w:t>
      </w:r>
    </w:p>
    <w:p w14:paraId="4BCF5667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</w:p>
    <w:p w14:paraId="489C1EB3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Style w:val="8"/>
          <w:rFonts w:hint="default" w:ascii="Times New Roman" w:hAnsi="Times New Roman" w:cs="Times New Roman"/>
          <w:color w:val="101214"/>
          <w:sz w:val="20"/>
          <w:szCs w:val="20"/>
          <w:lang w:val="en-US" w:eastAsia="zh-CN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2.2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转录反应 </w:t>
      </w:r>
    </w:p>
    <w:p w14:paraId="480CCDFC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en-US" w:eastAsia="zh-CN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共转录加帽按如下体系准备反应：</w:t>
      </w:r>
    </w:p>
    <w:tbl>
      <w:tblPr>
        <w:tblStyle w:val="4"/>
        <w:tblW w:w="74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6"/>
        <w:gridCol w:w="3333"/>
      </w:tblGrid>
      <w:tr w14:paraId="320D5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41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A957FCF">
            <w:pPr>
              <w:autoSpaceDE w:val="0"/>
              <w:autoSpaceDN w:val="0"/>
              <w:ind w:leftChars="30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fr-F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fr-FR"/>
              </w:rPr>
              <w:t>组分</w:t>
            </w:r>
          </w:p>
        </w:tc>
        <w:tc>
          <w:tcPr>
            <w:tcW w:w="33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88B2FFA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fr-F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fr-FR"/>
              </w:rPr>
              <w:t>体积（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 xml:space="preserve">20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fr-FR" w:eastAsia="zh-CN"/>
              </w:rPr>
              <w:t>μL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fr-FR"/>
              </w:rPr>
              <w:t>）</w:t>
            </w:r>
          </w:p>
        </w:tc>
      </w:tr>
      <w:tr w14:paraId="7F00F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410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FA1F104">
            <w:pPr>
              <w:autoSpaceDE w:val="0"/>
              <w:autoSpaceDN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fr-FR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10 × </w:t>
            </w:r>
            <w:r>
              <w:rPr>
                <w:rStyle w:val="8"/>
                <w:rFonts w:hint="default" w:ascii="Times New Roman" w:hAnsi="Times New Roman" w:eastAsia="宋体" w:cs="Times New Roman"/>
                <w:color w:val="101214"/>
                <w:sz w:val="20"/>
                <w:szCs w:val="20"/>
              </w:rPr>
              <w:t>Transcription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Buffer</w:t>
            </w:r>
          </w:p>
        </w:tc>
        <w:tc>
          <w:tcPr>
            <w:tcW w:w="333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6B694C3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 w:eastAsia="zh-CN"/>
              </w:rPr>
              <w:t>μL</w:t>
            </w:r>
          </w:p>
        </w:tc>
      </w:tr>
      <w:tr w14:paraId="5588D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6E6C99A5">
            <w:pPr>
              <w:autoSpaceDE w:val="0"/>
              <w:autoSpaceDN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</w:rPr>
              <w:t xml:space="preserve">T7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  <w:t>Enzyme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  <w:t>ix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955AE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3 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 w:eastAsia="zh-CN"/>
              </w:rPr>
              <w:t>μL</w:t>
            </w:r>
          </w:p>
        </w:tc>
      </w:tr>
      <w:tr w14:paraId="63793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7B3D91BD">
            <w:pPr>
              <w:autoSpaceDE w:val="0"/>
              <w:autoSpaceDN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100mM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 ATP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14:paraId="0AB79B47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 w:eastAsia="zh-CN"/>
              </w:rPr>
              <w:t>μL</w:t>
            </w:r>
          </w:p>
        </w:tc>
      </w:tr>
      <w:tr w14:paraId="69705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3ABBBBC">
            <w:pPr>
              <w:autoSpaceDE w:val="0"/>
              <w:autoSpaceDN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100mM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 CTP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14:paraId="78C039E3">
            <w:pPr>
              <w:autoSpaceDE w:val="0"/>
              <w:autoSpaceDN w:val="0"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 w:eastAsia="zh-CN"/>
              </w:rPr>
              <w:t>μL</w:t>
            </w:r>
          </w:p>
        </w:tc>
      </w:tr>
      <w:tr w14:paraId="39DB2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F11F9DD">
            <w:pPr>
              <w:autoSpaceDE w:val="0"/>
              <w:autoSpaceDN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100mM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 GTP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14:paraId="308FE002">
            <w:pPr>
              <w:autoSpaceDE w:val="0"/>
              <w:autoSpaceDN w:val="0"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 w:eastAsia="zh-CN"/>
              </w:rPr>
              <w:t>μL</w:t>
            </w:r>
          </w:p>
        </w:tc>
      </w:tr>
      <w:tr w14:paraId="45715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6E0B727A">
            <w:pPr>
              <w:autoSpaceDE w:val="0"/>
              <w:autoSpaceDN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100mM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 UTP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14:paraId="257095F9">
            <w:pPr>
              <w:autoSpaceDE w:val="0"/>
              <w:autoSpaceDN w:val="0"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 w:eastAsia="zh-CN"/>
              </w:rPr>
              <w:t>μL</w:t>
            </w:r>
          </w:p>
        </w:tc>
      </w:tr>
      <w:tr w14:paraId="09641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64023997">
            <w:pPr>
              <w:autoSpaceDE w:val="0"/>
              <w:autoSpaceDN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fr-FR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DNA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Template 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14:paraId="2B4D9373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 w:eastAsia="zh-CN"/>
              </w:rPr>
              <w:t>μ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g</w:t>
            </w:r>
          </w:p>
        </w:tc>
      </w:tr>
      <w:tr w14:paraId="73A9E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0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216122DF">
            <w:pPr>
              <w:autoSpaceDE w:val="0"/>
              <w:autoSpaceDN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RNase-free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Water</w:t>
            </w:r>
          </w:p>
        </w:tc>
        <w:tc>
          <w:tcPr>
            <w:tcW w:w="333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4BF2A3F9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/>
              </w:rPr>
              <w:t>Up to 20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fr-FR" w:eastAsia="zh-CN"/>
              </w:rPr>
              <w:t>μL</w:t>
            </w:r>
          </w:p>
        </w:tc>
      </w:tr>
    </w:tbl>
    <w:p w14:paraId="56267CFA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</w:p>
    <w:p w14:paraId="5335AD9C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b/>
          <w:bCs/>
          <w:color w:val="101214"/>
          <w:sz w:val="20"/>
          <w:szCs w:val="20"/>
        </w:rPr>
        <w:t>注: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 </w:t>
      </w:r>
    </w:p>
    <w:p w14:paraId="012F064F">
      <w:pPr>
        <w:numPr>
          <w:ilvl w:val="0"/>
          <w:numId w:val="2"/>
        </w:numPr>
        <w:autoSpaceDE w:val="0"/>
        <w:autoSpaceDN w:val="0"/>
        <w:ind w:left="400" w:hanging="400" w:hangingChars="200"/>
        <w:jc w:val="both"/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  <w:t>反应</w:t>
      </w: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20"/>
          <w:szCs w:val="20"/>
          <w:lang w:val="en-US" w:eastAsia="zh-CN"/>
        </w:rPr>
        <w:t>应</w:t>
      </w: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  <w:t>在37℃下进行。由于10</w:t>
      </w: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20"/>
          <w:szCs w:val="20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  <w:t>×</w:t>
      </w: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20"/>
          <w:szCs w:val="20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  <w:t>Transcription Buffer中含有亚精胺，低温下亚精胺浓度过高</w:t>
      </w: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20"/>
          <w:szCs w:val="20"/>
          <w:lang w:val="en-US" w:eastAsia="zh-CN"/>
        </w:rPr>
        <w:t>可能</w:t>
      </w: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  <w:t xml:space="preserve">会导致DNA模板析出。 </w:t>
      </w:r>
    </w:p>
    <w:p w14:paraId="1BD8C268">
      <w:pPr>
        <w:numPr>
          <w:ilvl w:val="0"/>
          <w:numId w:val="2"/>
        </w:numPr>
        <w:autoSpaceDE w:val="0"/>
        <w:autoSpaceDN w:val="0"/>
        <w:ind w:left="400" w:leftChars="0" w:hanging="400" w:hangingChars="200"/>
        <w:jc w:val="both"/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  <w:t>反应产物可能有白色沉淀物，这是反应中的游离焦磷酸与镁离子产生焦磷酸镁，</w:t>
      </w: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20"/>
          <w:szCs w:val="20"/>
          <w:lang w:val="en-US" w:eastAsia="zh-CN"/>
        </w:rPr>
        <w:t>但</w:t>
      </w: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  <w:t>不会影响后续的实验。可以通过加入EDTA来清除。</w:t>
      </w:r>
    </w:p>
    <w:p w14:paraId="578A3988">
      <w:pPr>
        <w:numPr>
          <w:ilvl w:val="0"/>
          <w:numId w:val="2"/>
        </w:numPr>
        <w:autoSpaceDE w:val="0"/>
        <w:autoSpaceDN w:val="0"/>
        <w:ind w:left="400" w:leftChars="0" w:hanging="400" w:hangingChars="200"/>
        <w:jc w:val="both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20"/>
          <w:szCs w:val="20"/>
          <w:lang w:val="en-US" w:eastAsia="zh-CN"/>
        </w:rPr>
        <w:t>若</w:t>
      </w: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  <w:t>在PCR仪中进行反应，热盖应打开，以防止时间过长反应溶液蒸发。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 xml:space="preserve"> </w:t>
      </w:r>
    </w:p>
    <w:p w14:paraId="66748293">
      <w:pPr>
        <w:numPr>
          <w:ilvl w:val="0"/>
          <w:numId w:val="2"/>
        </w:numPr>
        <w:autoSpaceDE w:val="0"/>
        <w:autoSpaceDN w:val="0"/>
        <w:ind w:left="400" w:leftChars="0" w:hanging="400" w:hangingChars="200"/>
        <w:jc w:val="both"/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  <w:t>所用试剂和容器必须</w:t>
      </w: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20"/>
          <w:szCs w:val="20"/>
          <w:lang w:val="en-US" w:eastAsia="zh-CN"/>
        </w:rPr>
        <w:t>为RNase-free</w:t>
      </w:r>
      <w:r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  <w:t xml:space="preserve">。 </w:t>
      </w:r>
    </w:p>
    <w:p w14:paraId="43BDF65F">
      <w:pPr>
        <w:numPr>
          <w:ilvl w:val="0"/>
          <w:numId w:val="2"/>
        </w:numPr>
        <w:autoSpaceDE w:val="0"/>
        <w:autoSpaceDN w:val="0"/>
        <w:ind w:left="400" w:hanging="360" w:hangingChars="200"/>
        <w:jc w:val="both"/>
        <w:rPr>
          <w:rStyle w:val="8"/>
          <w:rFonts w:hint="default" w:ascii="Times New Roman" w:hAnsi="Times New Roman" w:eastAsia="宋体" w:cs="Times New Roman"/>
          <w:color w:val="101214"/>
          <w:kern w:val="0"/>
          <w:sz w:val="18"/>
          <w:szCs w:val="18"/>
        </w:rPr>
      </w:pP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18"/>
          <w:szCs w:val="18"/>
          <w:lang w:val="en-US" w:eastAsia="zh-CN"/>
        </w:rPr>
        <w:t>Control DNA Template用于转录时，加入量为1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fr-FR" w:eastAsia="zh-CN"/>
        </w:rPr>
        <w:t>μL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fr-FR" w:eastAsia="zh-CN"/>
        </w:rPr>
        <w:t>，</w:t>
      </w:r>
      <w:r>
        <w:rPr>
          <w:rStyle w:val="8"/>
          <w:rFonts w:hint="eastAsia" w:ascii="Times New Roman" w:hAnsi="Times New Roman" w:eastAsia="宋体" w:cs="Times New Roman"/>
          <w:color w:val="101214"/>
          <w:kern w:val="0"/>
          <w:sz w:val="18"/>
          <w:szCs w:val="18"/>
          <w:lang w:val="en-US" w:eastAsia="zh-CN"/>
        </w:rPr>
        <w:t>作为试剂盒转录功能验证，使用不同的DNA模板的产量可能会有差异。</w:t>
      </w:r>
    </w:p>
    <w:p w14:paraId="6DC9883C">
      <w:pPr>
        <w:autoSpaceDE w:val="0"/>
        <w:autoSpaceDN w:val="0"/>
        <w:jc w:val="both"/>
        <w:rPr>
          <w:rStyle w:val="8"/>
          <w:rFonts w:hint="default" w:ascii="Times New Roman" w:hAnsi="Times New Roman" w:eastAsia="宋体" w:cs="Times New Roman"/>
          <w:color w:val="101214"/>
          <w:kern w:val="0"/>
          <w:sz w:val="20"/>
          <w:szCs w:val="20"/>
        </w:rPr>
      </w:pPr>
    </w:p>
    <w:p w14:paraId="4AFABE79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2.3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37℃ 孵育2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.5h</w:t>
      </w:r>
    </w:p>
    <w:p w14:paraId="77F5B46C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将上述反应溶液混合，短暂离心至管底，37℃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孵育2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.5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h。如果转录本长度小于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1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00 nt时，可将反应时间延长至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3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-8 h。 </w:t>
      </w:r>
    </w:p>
    <w:p w14:paraId="582E8752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</w:p>
    <w:p w14:paraId="04725DEC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2.4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DNase I处理(可选) </w:t>
      </w:r>
    </w:p>
    <w:p w14:paraId="28204175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反应完成后，每管加入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1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μ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eastAsia="zh-CN"/>
        </w:rPr>
        <w:t>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 DNase I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eastAsia="zh-CN"/>
        </w:rPr>
        <w:t>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37℃孵育15min，以去除模板DNA。</w:t>
      </w:r>
    </w:p>
    <w:p w14:paraId="46BFF2F9">
      <w:pPr>
        <w:autoSpaceDE w:val="0"/>
        <w:autoSpaceDN w:val="0"/>
        <w:jc w:val="both"/>
        <w:rPr>
          <w:rFonts w:hint="default" w:ascii="Times New Roman" w:hAnsi="Times New Roman" w:eastAsia="宋体" w:cs="Times New Roman"/>
          <w:kern w:val="0"/>
          <w:sz w:val="20"/>
          <w:szCs w:val="20"/>
          <w:lang w:val="fr-FR"/>
        </w:rPr>
      </w:pPr>
    </w:p>
    <w:p w14:paraId="3DC7B03C">
      <w:pPr>
        <w:pStyle w:val="7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outlineLvl w:val="0"/>
        <w:rPr>
          <w:rStyle w:val="8"/>
          <w:rFonts w:hint="default" w:ascii="Times New Roman" w:hAnsi="Times New Roman" w:eastAsia="宋体" w:cs="Times New Roman"/>
          <w:b/>
          <w:bCs/>
          <w:color w:val="auto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b/>
          <w:bCs/>
          <w:color w:val="auto"/>
          <w:sz w:val="20"/>
          <w:szCs w:val="20"/>
          <w:lang w:val="fr-FR"/>
        </w:rPr>
        <w:t>产</w:t>
      </w:r>
      <w:r>
        <w:rPr>
          <w:rStyle w:val="8"/>
          <w:rFonts w:hint="default" w:ascii="Times New Roman" w:hAnsi="Times New Roman" w:eastAsia="宋体" w:cs="Times New Roman"/>
          <w:b/>
          <w:bCs/>
          <w:color w:val="auto"/>
          <w:sz w:val="20"/>
          <w:szCs w:val="20"/>
        </w:rPr>
        <w:t>物纯化</w:t>
      </w:r>
    </w:p>
    <w:p w14:paraId="59F7A874">
      <w:pPr>
        <w:pStyle w:val="7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425" w:leftChars="0" w:hanging="425" w:firstLine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RNA磁珠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纯化</w:t>
      </w:r>
    </w:p>
    <w:p w14:paraId="395C2C3C">
      <w:pPr>
        <w:pStyle w:val="7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454" w:leftChars="0" w:hanging="454" w:firstLine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提前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从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4℃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冰箱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取出RNA磁珠，平衡至室温，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以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RNase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-free </w:t>
      </w:r>
      <w:bookmarkStart w:id="2" w:name="OLE_LINK1"/>
      <w:bookmarkStart w:id="3" w:name="OLE_LINK4"/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w</w:t>
      </w:r>
      <w:bookmarkStart w:id="4" w:name="OLE_LINK3"/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ate</w:t>
      </w:r>
      <w:bookmarkEnd w:id="2"/>
      <w:bookmarkEnd w:id="4"/>
      <w:bookmarkStart w:id="5" w:name="OLE_LINK5"/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r</w:t>
      </w:r>
      <w:bookmarkEnd w:id="3"/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稀释转录产物至50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。</w:t>
      </w:r>
      <w:bookmarkStart w:id="6" w:name="OLE_LINK2"/>
    </w:p>
    <w:bookmarkEnd w:id="5"/>
    <w:bookmarkEnd w:id="6"/>
    <w:p w14:paraId="0DB3078C">
      <w:pPr>
        <w:pStyle w:val="7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0" w:leftChars="0" w:firstLine="0" w:firstLine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倒置或涡旋使磁珠充分混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匀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，加入2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倍体积的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磁珠(100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)至RNA样品(50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)中，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以移液器</w:t>
      </w:r>
    </w:p>
    <w:p w14:paraId="79649211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ind w:left="0" w:leftChars="0" w:firstLine="200" w:firstLineChars="10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吹打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6次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以上。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室温孵育5分钟，使RNA与磁珠结合。</w:t>
      </w:r>
    </w:p>
    <w:p w14:paraId="27BF7C18">
      <w:pPr>
        <w:pStyle w:val="7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454" w:leftChars="0" w:hanging="454" w:firstLine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将样品置于磁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力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架上5分钟。待溶液澄清后，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小心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除去上清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液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。</w:t>
      </w:r>
    </w:p>
    <w:p w14:paraId="0C3D1A36">
      <w:pPr>
        <w:pStyle w:val="7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454" w:leftChars="0" w:hanging="454" w:firstLine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将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样品置于磁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力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架上，加入200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新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鲜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配制的80%乙醇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fr-FR" w:eastAsia="zh-CN"/>
        </w:rPr>
        <w:t>（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RNase-free</w:t>
      </w:r>
      <w:bookmarkStart w:id="7" w:name="OLE_LINK9"/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 </w:t>
      </w:r>
      <w:bookmarkEnd w:id="7"/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water配制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fr-FR" w:eastAsia="zh-CN"/>
        </w:rPr>
        <w:t>）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冲洗磁珠，室温孵育30秒，小心地除去上清。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再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重复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1次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该操作。</w:t>
      </w:r>
    </w:p>
    <w:p w14:paraId="741F4598">
      <w:pPr>
        <w:pStyle w:val="7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454" w:leftChars="0" w:hanging="454" w:firstLine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将样品置于磁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力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架上，打开盖子5分钟，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风干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磁珠。(注意: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避免过度干燥。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否则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得到的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RNA量会减少)。</w:t>
      </w:r>
    </w:p>
    <w:p w14:paraId="38F46DC7">
      <w:pPr>
        <w:pStyle w:val="7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454" w:leftChars="0" w:hanging="454" w:firstLine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将样品从磁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力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架上取下，加入2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3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 RNase-free 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water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移液器吹打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6次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以使样品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混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匀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，室温孵育5分钟。</w:t>
      </w:r>
    </w:p>
    <w:p w14:paraId="752CCB4F">
      <w:pPr>
        <w:pStyle w:val="7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454" w:leftChars="0" w:hanging="454" w:firstLine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将样品置于磁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力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架上5分钟。待溶液澄清后，小心地将20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上清液转移到新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的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RNase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-free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PCR管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中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。(注意: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转移上清时留下2-3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的液体，以免吸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入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磁珠影响后续实验。所得RNA极不稳定，请尽快进行下一步操作。如需保存，请在-80℃下保存。</w:t>
      </w:r>
    </w:p>
    <w:p w14:paraId="5E8B3548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</w:pPr>
    </w:p>
    <w:p w14:paraId="58622579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jc w:val="both"/>
        <w:rPr>
          <w:rFonts w:hint="default" w:ascii="Times New Roman" w:hAnsi="Times New Roman" w:eastAsia="宋体" w:cs="Times New Roman"/>
          <w:sz w:val="20"/>
          <w:szCs w:val="20"/>
          <w:lang w:val="fr-FR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-SA"/>
        </w:rPr>
        <w:t>(</w:t>
      </w:r>
      <w:r>
        <w:rPr>
          <w:rFonts w:hint="eastAsia" w:ascii="Times New Roman" w:hAnsi="Times New Roman" w:cs="Times New Roman"/>
          <w:kern w:val="0"/>
          <w:sz w:val="20"/>
          <w:szCs w:val="20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-SA"/>
        </w:rPr>
        <w:t>)</w:t>
      </w:r>
      <w:r>
        <w:rPr>
          <w:rFonts w:hint="eastAsia" w:ascii="Times New Roman" w:hAnsi="Times New Roman" w:cs="Times New Roman"/>
          <w:kern w:val="0"/>
          <w:sz w:val="20"/>
          <w:szCs w:val="20"/>
          <w:lang w:val="en-US" w:eastAsia="zh-CN" w:bidi="ar-SA"/>
        </w:rPr>
        <w:t xml:space="preserve">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氯化锂沉淀</w:t>
      </w:r>
    </w:p>
    <w:p w14:paraId="2A84D506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氯化锂沉淀法要求RNA长度必须大于300nt，且浓度不能小于 100 ng/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。</w:t>
      </w:r>
    </w:p>
    <w:p w14:paraId="774D6414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  <w:sz w:val="20"/>
          <w:szCs w:val="20"/>
          <w:lang w:val="fr-FR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a.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在20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反应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液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中加入30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 RNase-free</w:t>
      </w:r>
      <w:bookmarkStart w:id="8" w:name="OLE_LINK6"/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 </w:t>
      </w:r>
      <w:bookmarkStart w:id="9" w:name="OLE_LINK8"/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water</w:t>
      </w:r>
      <w:bookmarkEnd w:id="8"/>
      <w:bookmarkEnd w:id="9"/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 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混匀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再加入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30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 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8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M 氯化锂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溶液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。</w:t>
      </w:r>
    </w:p>
    <w:p w14:paraId="2722C3F6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  <w:sz w:val="20"/>
          <w:szCs w:val="20"/>
          <w:lang w:val="fr-FR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b.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混匀后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-20℃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孵育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30 min，4℃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下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12,000 rpm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离心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15 min，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弃上清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。</w:t>
      </w:r>
    </w:p>
    <w:p w14:paraId="62E03328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ind w:left="0" w:leftChars="0" w:firstLine="0" w:firstLine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c.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加入500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预冷的70%乙醇洗涤RNA沉淀，4℃ 15,000 rpm离心15 min，弃上清。重复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2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次。</w:t>
      </w:r>
    </w:p>
    <w:p w14:paraId="5C3E7ED7">
      <w:pPr>
        <w:pStyle w:val="7"/>
        <w:keepNext w:val="0"/>
        <w:keepLines w:val="0"/>
        <w:pageBreakBefore w:val="0"/>
        <w:widowControl/>
        <w:numPr>
          <w:ilvl w:val="-1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0" w:leftChars="0" w:firstLine="0" w:firstLineChars="0"/>
        <w:jc w:val="both"/>
        <w:textAlignment w:val="auto"/>
        <w:rPr>
          <w:rFonts w:hint="default" w:ascii="Times New Roman" w:hAnsi="Times New Roman" w:eastAsia="宋体" w:cs="Times New Roman"/>
          <w:kern w:val="0"/>
          <w:sz w:val="20"/>
          <w:szCs w:val="20"/>
          <w:lang w:val="fr-FR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d.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开盖干燥2 min，加入20 - 50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 RNase-free</w:t>
      </w:r>
      <w:bookmarkStart w:id="10" w:name="OLE_LINK7"/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 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water</w:t>
      </w:r>
      <w:bookmarkEnd w:id="10"/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或其他缓冲液溶解RNA沉淀。纯化后的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     </w:t>
      </w:r>
    </w:p>
    <w:p w14:paraId="3CE03A52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0" w:leftChars="0" w:firstLine="200" w:firstLineChars="100"/>
        <w:jc w:val="both"/>
        <w:textAlignment w:val="auto"/>
        <w:rPr>
          <w:rFonts w:hint="default" w:ascii="Times New Roman" w:hAnsi="Times New Roman" w:eastAsia="宋体" w:cs="Times New Roman"/>
          <w:kern w:val="0"/>
          <w:sz w:val="20"/>
          <w:szCs w:val="20"/>
          <w:lang w:val="fr-FR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RNA溶液保存在-80℃。</w:t>
      </w:r>
    </w:p>
    <w:p w14:paraId="70777ECB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Fonts w:hint="default" w:ascii="Times New Roman" w:hAnsi="Times New Roman" w:eastAsia="宋体" w:cs="Times New Roman"/>
          <w:kern w:val="0"/>
          <w:sz w:val="20"/>
          <w:szCs w:val="20"/>
          <w:lang w:val="fr-FR"/>
        </w:rPr>
      </w:pPr>
    </w:p>
    <w:p w14:paraId="6EB33FD6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Fonts w:hint="default" w:ascii="Times New Roman" w:hAnsi="Times New Roman" w:eastAsia="宋体" w:cs="Times New Roman"/>
          <w:color w:val="101214"/>
          <w:kern w:val="0"/>
          <w:sz w:val="20"/>
          <w:szCs w:val="20"/>
          <w:lang w:val="en-US" w:eastAsia="zh-CN" w:bidi="ar-SA"/>
        </w:rPr>
        <w:t>(</w:t>
      </w:r>
      <w:r>
        <w:rPr>
          <w:rFonts w:hint="eastAsia" w:ascii="Times New Roman" w:hAnsi="Times New Roman" w:cs="Times New Roman"/>
          <w:color w:val="101214"/>
          <w:kern w:val="0"/>
          <w:sz w:val="20"/>
          <w:szCs w:val="20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color w:val="101214"/>
          <w:kern w:val="0"/>
          <w:sz w:val="20"/>
          <w:szCs w:val="20"/>
          <w:lang w:val="en-US" w:eastAsia="zh-CN" w:bidi="ar-SA"/>
        </w:rPr>
        <w:t>)</w:t>
      </w:r>
      <w:r>
        <w:rPr>
          <w:rFonts w:hint="eastAsia" w:ascii="Times New Roman" w:hAnsi="Times New Roman" w:cs="Times New Roman"/>
          <w:color w:val="101214"/>
          <w:kern w:val="0"/>
          <w:sz w:val="20"/>
          <w:szCs w:val="20"/>
          <w:lang w:val="en-US" w:eastAsia="zh-CN" w:bidi="ar-SA"/>
        </w:rPr>
        <w:t xml:space="preserve">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柱纯化</w:t>
      </w:r>
    </w:p>
    <w:p w14:paraId="3A9018FC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ind w:left="-34" w:leftChars="0" w:firstLine="0" w:firstLineChars="0"/>
        <w:jc w:val="both"/>
        <w:rPr>
          <w:rFonts w:hint="default" w:ascii="Times New Roman" w:hAnsi="Times New Roman" w:eastAsia="宋体" w:cs="Times New Roman"/>
          <w:kern w:val="0"/>
          <w:sz w:val="20"/>
          <w:szCs w:val="20"/>
          <w:lang w:val="fr-FR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a.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柱纯化可以去除蛋白和游离核苷酸。纯化前加入80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 RNase-free 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water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 xml:space="preserve">将产物稀释至100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 w:eastAsia="zh-CN"/>
        </w:rPr>
        <w:t>μL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fr-FR"/>
        </w:rPr>
        <w:t>，再按柱纯化说明书进行纯化。</w:t>
      </w:r>
    </w:p>
    <w:p w14:paraId="1CAA286E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jc w:val="both"/>
        <w:outlineLvl w:val="0"/>
        <w:rPr>
          <w:rStyle w:val="8"/>
          <w:rFonts w:hint="default" w:ascii="Times New Roman" w:hAnsi="Times New Roman" w:eastAsia="宋体" w:cs="Times New Roman"/>
          <w:b/>
          <w:bCs/>
          <w:color w:val="auto"/>
          <w:sz w:val="20"/>
          <w:szCs w:val="20"/>
          <w:lang w:val="fr-FR"/>
        </w:rPr>
      </w:pPr>
      <w:r>
        <w:rPr>
          <w:rStyle w:val="8"/>
          <w:rFonts w:hint="eastAsia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  <w:t>4.</w:t>
      </w:r>
      <w:r>
        <w:rPr>
          <w:rStyle w:val="8"/>
          <w:rFonts w:hint="default" w:ascii="Times New Roman" w:hAnsi="Times New Roman" w:eastAsia="宋体" w:cs="Times New Roman"/>
          <w:b/>
          <w:bCs/>
          <w:color w:val="auto"/>
          <w:sz w:val="20"/>
          <w:szCs w:val="20"/>
          <w:lang w:val="fr-FR"/>
        </w:rPr>
        <w:t>RNA定量</w:t>
      </w:r>
    </w:p>
    <w:p w14:paraId="1405D43C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 xml:space="preserve">a. 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紫外吸收法</w:t>
      </w:r>
    </w:p>
    <w:p w14:paraId="5B50CF58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  <w:lang w:val="en-US" w:eastAsia="zh-CN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A260紫外吸收法测定RNA含量。</w:t>
      </w:r>
    </w:p>
    <w:p w14:paraId="45CDF150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ind w:left="0" w:leftChars="0" w:firstLine="0" w:firstLineChars="0"/>
        <w:jc w:val="both"/>
        <w:rPr>
          <w:rStyle w:val="8"/>
          <w:rFonts w:hint="eastAsia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b.</w:t>
      </w:r>
      <w:r>
        <w:rPr>
          <w:rStyle w:val="8"/>
          <w:rFonts w:hint="eastAsia" w:ascii="Times New Roman" w:hAnsi="Times New Roman" w:eastAsia="宋体" w:cs="Times New Roman"/>
          <w:color w:val="101214"/>
          <w:sz w:val="20"/>
          <w:szCs w:val="20"/>
        </w:rPr>
        <w:t>染料法</w:t>
      </w:r>
    </w:p>
    <w:p w14:paraId="32815F60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使用RiboGreen染料定量RNA，游离核苷酸不会影响定量，可以对纯化或未纯化的反应产物中的RNA准确定量。</w:t>
      </w:r>
    </w:p>
    <w:p w14:paraId="21FD3DD5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jc w:val="both"/>
        <w:outlineLvl w:val="0"/>
        <w:rPr>
          <w:rStyle w:val="8"/>
          <w:rFonts w:hint="eastAsia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</w:pPr>
    </w:p>
    <w:p w14:paraId="3F4859E9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jc w:val="both"/>
        <w:outlineLvl w:val="0"/>
        <w:rPr>
          <w:rStyle w:val="8"/>
          <w:rFonts w:hint="default" w:ascii="Times New Roman" w:hAnsi="Times New Roman" w:eastAsia="宋体" w:cs="Times New Roman"/>
          <w:b/>
          <w:bCs/>
          <w:color w:val="auto"/>
          <w:sz w:val="20"/>
          <w:szCs w:val="20"/>
          <w:lang w:val="fr-FR"/>
        </w:rPr>
      </w:pPr>
      <w:r>
        <w:rPr>
          <w:rStyle w:val="8"/>
          <w:rFonts w:hint="eastAsia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  <w:t>5.</w:t>
      </w:r>
      <w:r>
        <w:rPr>
          <w:rStyle w:val="8"/>
          <w:rFonts w:hint="default" w:ascii="Times New Roman" w:hAnsi="Times New Roman" w:eastAsia="宋体" w:cs="Times New Roman"/>
          <w:b/>
          <w:bCs/>
          <w:color w:val="auto"/>
          <w:sz w:val="20"/>
          <w:szCs w:val="20"/>
          <w:lang w:val="fr-FR"/>
        </w:rPr>
        <w:t xml:space="preserve">RNA大小和质量检测 </w:t>
      </w:r>
    </w:p>
    <w:p w14:paraId="13FA922E">
      <w:pPr>
        <w:pStyle w:val="7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ind w:left="454" w:leftChars="0" w:hanging="454" w:firstLineChars="0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琼脂糖凝胶电泳 </w:t>
      </w:r>
    </w:p>
    <w:p w14:paraId="3F9607F4">
      <w:pPr>
        <w:pStyle w:val="7"/>
        <w:numPr>
          <w:ilvl w:val="0"/>
          <w:numId w:val="0"/>
        </w:numPr>
        <w:shd w:val="clear" w:color="auto" w:fill="FFFFFF"/>
        <w:spacing w:before="0" w:beforeAutospacing="0" w:after="0" w:afterAutospacing="0" w:line="315" w:lineRule="atLeast"/>
        <w:ind w:leftChars="0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为了确定RNA的大小、完整性和质量，可采用琼脂糖凝胶电泳或聚丙烯酰胺凝胶电泳检测。 </w:t>
      </w:r>
    </w:p>
    <w:p w14:paraId="536CC71D">
      <w:pPr>
        <w:pStyle w:val="7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ind w:left="454" w:leftChars="0" w:hanging="454" w:firstLineChars="0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Agilent 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5200毛细管电泳仪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检测 </w:t>
      </w:r>
    </w:p>
    <w:p w14:paraId="2C92ADCC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eastAsia="zh-CN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Agilent 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5200电泳仪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可用于评价RNA的完整性和质量。它只需要极少量的RNA样品进行分析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eastAsia="zh-CN"/>
        </w:rPr>
        <w:t>。</w:t>
      </w:r>
    </w:p>
    <w:p w14:paraId="2A30B484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en-US" w:eastAsia="zh-CN"/>
        </w:rPr>
      </w:pPr>
    </w:p>
    <w:p w14:paraId="095CF108">
      <w:pPr>
        <w:pStyle w:val="7"/>
        <w:shd w:val="clear" w:color="auto" w:fill="FFFFFF"/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b/>
          <w:color w:val="101214"/>
          <w:sz w:val="24"/>
          <w:szCs w:val="24"/>
          <w:lang w:val="en-US" w:eastAsia="zh-CN"/>
        </w:rPr>
      </w:pPr>
      <w:r>
        <w:rPr>
          <w:rStyle w:val="8"/>
          <w:rFonts w:hint="default" w:ascii="Times New Roman" w:hAnsi="Times New Roman" w:eastAsia="宋体" w:cs="Times New Roman"/>
          <w:b/>
          <w:color w:val="101214"/>
          <w:sz w:val="24"/>
          <w:szCs w:val="24"/>
          <w:lang w:val="en-US" w:eastAsia="zh-CN"/>
        </w:rPr>
        <w:t>06 注意事项</w:t>
      </w:r>
    </w:p>
    <w:p w14:paraId="1C370AE0">
      <w:pPr>
        <w:pStyle w:val="7"/>
        <w:numPr>
          <w:ilvl w:val="0"/>
          <w:numId w:val="6"/>
        </w:numPr>
        <w:shd w:val="clear" w:color="auto" w:fill="FFFFFF"/>
        <w:spacing w:before="0" w:beforeAutospacing="0" w:after="0" w:afterAutospacing="0" w:line="315" w:lineRule="atLeast"/>
        <w:ind w:left="454" w:leftChars="0" w:hanging="454" w:firstLineChars="0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注意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规范操作，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不要在反应体系中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en-US" w:eastAsia="zh-CN"/>
        </w:rPr>
        <w:t>引入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RN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ase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。 </w:t>
      </w:r>
    </w:p>
    <w:p w14:paraId="7E7DAC63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b.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实验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耗材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(如移液器枪头、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PCR反应管、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离心管等)应严格使用RNase-Free产品。 </w:t>
      </w:r>
    </w:p>
    <w:p w14:paraId="155B3B3B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3620770</wp:posOffset>
            </wp:positionH>
            <wp:positionV relativeFrom="paragraph">
              <wp:posOffset>192405</wp:posOffset>
            </wp:positionV>
            <wp:extent cx="875665" cy="784225"/>
            <wp:effectExtent l="0" t="0" r="635" b="3175"/>
            <wp:wrapNone/>
            <wp:docPr id="7" name="图片 7" descr="试剂盒说明书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试剂盒说明书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566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c.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为了您的安全和健康，请穿上实验室服，</w:t>
      </w: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戴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en-US" w:eastAsia="zh-CN"/>
        </w:rPr>
        <w:t>上一次性口罩及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 xml:space="preserve">一次性手套。 </w:t>
      </w:r>
    </w:p>
    <w:p w14:paraId="68EF1EFF">
      <w:pPr>
        <w:pStyle w:val="7"/>
        <w:numPr>
          <w:ilvl w:val="-1"/>
          <w:numId w:val="0"/>
        </w:numPr>
        <w:shd w:val="clear" w:color="auto" w:fill="FFFFFF"/>
        <w:spacing w:before="0" w:beforeAutospacing="0" w:after="0" w:afterAutospacing="0" w:line="315" w:lineRule="atLeast"/>
        <w:ind w:left="0" w:leftChars="0" w:firstLine="0" w:firstLineChars="0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  <w:r>
        <w:rPr>
          <w:rStyle w:val="8"/>
          <w:rFonts w:hint="eastAsia" w:ascii="Times New Roman" w:hAnsi="Times New Roman" w:cs="Times New Roman"/>
          <w:color w:val="101214"/>
          <w:sz w:val="20"/>
          <w:szCs w:val="20"/>
          <w:lang w:val="en-US" w:eastAsia="zh-CN"/>
        </w:rPr>
        <w:t>d.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  <w:lang w:val="en-US" w:eastAsia="zh-CN"/>
        </w:rPr>
        <w:t>本产品</w:t>
      </w:r>
      <w:r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  <w:t>仅供研究使用。</w:t>
      </w:r>
    </w:p>
    <w:p w14:paraId="3BC2047F">
      <w:pPr>
        <w:pStyle w:val="7"/>
        <w:widowControl/>
        <w:numPr>
          <w:ilvl w:val="0"/>
          <w:numId w:val="0"/>
        </w:numPr>
        <w:shd w:val="clear" w:color="auto" w:fill="FFFFFF"/>
        <w:tabs>
          <w:tab w:val="left" w:pos="195"/>
        </w:tabs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</w:p>
    <w:p w14:paraId="71EC762E">
      <w:pPr>
        <w:pStyle w:val="7"/>
        <w:widowControl/>
        <w:numPr>
          <w:ilvl w:val="0"/>
          <w:numId w:val="0"/>
        </w:numPr>
        <w:shd w:val="clear" w:color="auto" w:fill="FFFFFF"/>
        <w:tabs>
          <w:tab w:val="left" w:pos="195"/>
        </w:tabs>
        <w:spacing w:before="0" w:beforeAutospacing="0" w:after="0" w:afterAutospacing="0" w:line="315" w:lineRule="atLeast"/>
        <w:jc w:val="both"/>
        <w:rPr>
          <w:rStyle w:val="8"/>
          <w:rFonts w:hint="default" w:ascii="Times New Roman" w:hAnsi="Times New Roman" w:eastAsia="宋体" w:cs="Times New Roman"/>
          <w:color w:val="101214"/>
          <w:sz w:val="20"/>
          <w:szCs w:val="20"/>
        </w:rPr>
      </w:pPr>
    </w:p>
    <w:p w14:paraId="601D769E">
      <w:pPr>
        <w:autoSpaceDE w:val="0"/>
        <w:autoSpaceDN w:val="0"/>
        <w:jc w:val="both"/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 xml:space="preserve">     </w:t>
      </w:r>
    </w:p>
    <w:p w14:paraId="7D0110F6"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 xml:space="preserve">                                                       </w:t>
      </w:r>
      <w:r>
        <w:rPr>
          <w:rFonts w:hint="eastAsia" w:ascii="Times New Roman" w:hAnsi="Times New Roman" w:eastAsia="宋体" w:cs="Times New Roman"/>
          <w:kern w:val="0"/>
          <w:sz w:val="16"/>
          <w:szCs w:val="16"/>
          <w:lang w:val="en-US" w:eastAsia="zh-CN"/>
        </w:rPr>
        <w:t>常见问题可扫描上方二维码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  <w:lang w:val="en-US" w:eastAsia="zh-CN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7A72B1">
    <w:pPr>
      <w:pStyle w:val="3"/>
      <w:ind w:left="3910" w:leftChars="1862" w:firstLine="1400" w:firstLineChars="500"/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-336550</wp:posOffset>
          </wp:positionH>
          <wp:positionV relativeFrom="paragraph">
            <wp:posOffset>-1270</wp:posOffset>
          </wp:positionV>
          <wp:extent cx="998220" cy="339090"/>
          <wp:effectExtent l="0" t="0" r="5080" b="3810"/>
          <wp:wrapTight wrapText="bothSides">
            <wp:wrapPolygon>
              <wp:start x="0" y="0"/>
              <wp:lineTo x="0" y="21034"/>
              <wp:lineTo x="21435" y="21034"/>
              <wp:lineTo x="21435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8220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  <w:r>
      <w:rPr>
        <w:rFonts w:hint="eastAsia" w:ascii="仿宋_GB2312" w:eastAsia="仿宋_GB2312" w:cs="仿宋_GB2312"/>
        <w:sz w:val="21"/>
        <w:szCs w:val="21"/>
        <w:lang w:val="en-US" w:eastAsia="zh-CN"/>
      </w:rPr>
      <w:t>公司</w:t>
    </w: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  <w:r>
      <w:rPr>
        <w:rFonts w:hint="eastAsia" w:ascii="仿宋_GB2312" w:eastAsia="仿宋_GB2312" w:cs="仿宋_GB2312"/>
        <w:sz w:val="21"/>
        <w:szCs w:val="21"/>
        <w:lang w:val="en-US" w:eastAsia="zh-C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3C5442"/>
    <w:multiLevelType w:val="singleLevel"/>
    <w:tmpl w:val="CA3C5442"/>
    <w:lvl w:ilvl="0" w:tentative="0">
      <w:start w:val="1"/>
      <w:numFmt w:val="lowerLetter"/>
      <w:suff w:val="space"/>
      <w:lvlText w:val="%1."/>
      <w:lvlJc w:val="left"/>
      <w:pPr>
        <w:ind w:left="454" w:leftChars="0" w:hanging="454" w:firstLineChars="0"/>
      </w:pPr>
      <w:rPr>
        <w:rFonts w:hint="default"/>
      </w:rPr>
    </w:lvl>
  </w:abstractNum>
  <w:abstractNum w:abstractNumId="1">
    <w:nsid w:val="CED7B0A7"/>
    <w:multiLevelType w:val="singleLevel"/>
    <w:tmpl w:val="CED7B0A7"/>
    <w:lvl w:ilvl="0" w:tentative="0">
      <w:start w:val="1"/>
      <w:numFmt w:val="lowerLetter"/>
      <w:suff w:val="space"/>
      <w:lvlText w:val="%1."/>
      <w:lvlJc w:val="left"/>
      <w:pPr>
        <w:ind w:left="454" w:leftChars="0" w:hanging="454" w:firstLineChars="0"/>
      </w:pPr>
      <w:rPr>
        <w:rFonts w:hint="default"/>
      </w:rPr>
    </w:lvl>
  </w:abstractNum>
  <w:abstractNum w:abstractNumId="2">
    <w:nsid w:val="D11EB85A"/>
    <w:multiLevelType w:val="singleLevel"/>
    <w:tmpl w:val="D11EB85A"/>
    <w:lvl w:ilvl="0" w:tentative="0">
      <w:start w:val="2"/>
      <w:numFmt w:val="decimal"/>
      <w:suff w:val="space"/>
      <w:lvlText w:val="%1."/>
      <w:lvlJc w:val="left"/>
    </w:lvl>
  </w:abstractNum>
  <w:abstractNum w:abstractNumId="3">
    <w:nsid w:val="E3D816AF"/>
    <w:multiLevelType w:val="singleLevel"/>
    <w:tmpl w:val="E3D816A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ED46022C"/>
    <w:multiLevelType w:val="singleLevel"/>
    <w:tmpl w:val="ED46022C"/>
    <w:lvl w:ilvl="0" w:tentative="0">
      <w:start w:val="1"/>
      <w:numFmt w:val="lowerLetter"/>
      <w:suff w:val="space"/>
      <w:lvlText w:val="%1."/>
      <w:lvlJc w:val="left"/>
      <w:pPr>
        <w:ind w:left="454" w:leftChars="0" w:hanging="454" w:firstLineChars="0"/>
      </w:pPr>
      <w:rPr>
        <w:rFonts w:hint="default"/>
      </w:rPr>
    </w:lvl>
  </w:abstractNum>
  <w:abstractNum w:abstractNumId="5">
    <w:nsid w:val="FF8C8099"/>
    <w:multiLevelType w:val="singleLevel"/>
    <w:tmpl w:val="FF8C8099"/>
    <w:lvl w:ilvl="0" w:tentative="0">
      <w:start w:val="1"/>
      <w:numFmt w:val="decimal"/>
      <w:suff w:val="space"/>
      <w:lvlText w:val="（%1)"/>
      <w:lvlJc w:val="left"/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2NjVkNjQzYzA3YTU4ZWJlOTk5NTNjZmY1MzNhMDAifQ=="/>
  </w:docVars>
  <w:rsids>
    <w:rsidRoot w:val="45C9499D"/>
    <w:rsid w:val="13175A42"/>
    <w:rsid w:val="45C9499D"/>
    <w:rsid w:val="5DAE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gt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tgt1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1927</Words>
  <Characters>2775</Characters>
  <Lines>0</Lines>
  <Paragraphs>0</Paragraphs>
  <TotalTime>4</TotalTime>
  <ScaleCrop>false</ScaleCrop>
  <LinksUpToDate>false</LinksUpToDate>
  <CharactersWithSpaces>3022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2024-10-16T01:45:00Z</dcterms:created>
  <dc:creator>yelideng</dc:creator>
  <cp:lastModifiedBy>瀚渺苍茫</cp:lastModifiedBy>
  <dcterms:modified xsi:type="dcterms:W3CDTF">2024-10-16T04:25:49Z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3C0130DA12C443118270E10640076ED1_11</vt:lpwstr>
  </property>
</Properties>
</file>