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66E30">
      <w:pPr>
        <w:rPr>
          <w:rFonts w:hint="default" w:ascii="Times New Roman" w:hAnsi="Times New Roman" w:cs="Times New Roman"/>
          <w:sz w:val="21"/>
          <w:szCs w:val="21"/>
        </w:rPr>
      </w:pPr>
    </w:p>
    <w:p w14:paraId="73AA7009">
      <w:pPr>
        <w:jc w:val="center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dC</w:t>
      </w: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TP</w:t>
      </w: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/>
          <w:kern w:val="0"/>
          <w:sz w:val="28"/>
          <w:szCs w:val="28"/>
        </w:rPr>
        <w:t>100mM Solution</w:t>
      </w: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产品说明书</w:t>
      </w:r>
    </w:p>
    <w:p w14:paraId="46853110">
      <w:pPr>
        <w:jc w:val="left"/>
        <w:rPr>
          <w:rFonts w:hint="default" w:ascii="Times New Roman" w:hAnsi="Times New Roman" w:eastAsia="宋体" w:cs="Times New Roman"/>
          <w:sz w:val="21"/>
          <w:szCs w:val="21"/>
        </w:rPr>
      </w:pPr>
    </w:p>
    <w:p w14:paraId="07A74A31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60"/>
        <w:gridCol w:w="1736"/>
      </w:tblGrid>
      <w:tr w14:paraId="6E16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tcBorders>
              <w:left w:val="nil"/>
              <w:bottom w:val="single" w:color="auto" w:sz="4" w:space="0"/>
              <w:right w:val="nil"/>
            </w:tcBorders>
          </w:tcPr>
          <w:p w14:paraId="7499D19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nil"/>
            </w:tcBorders>
          </w:tcPr>
          <w:p w14:paraId="67278EB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Cat#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1FA501B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</w:tr>
      <w:tr w14:paraId="23F02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094E38F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dC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TP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 xml:space="preserve">，100mM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Solution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607E76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A01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A8A8FD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100 μL</w:t>
            </w:r>
          </w:p>
        </w:tc>
      </w:tr>
      <w:tr w14:paraId="0EC2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0BE0425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62A679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A02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7472D40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200 μL</w:t>
            </w:r>
          </w:p>
        </w:tc>
      </w:tr>
      <w:tr w14:paraId="2648D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1E83792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BE100F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A03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12315D8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500 μL</w:t>
            </w:r>
          </w:p>
        </w:tc>
      </w:tr>
      <w:tr w14:paraId="60D6D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7B747AF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</w:tcPr>
          <w:p w14:paraId="41A73B3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A04</w:t>
            </w:r>
          </w:p>
        </w:tc>
        <w:tc>
          <w:tcPr>
            <w:tcW w:w="1736" w:type="dxa"/>
            <w:tcBorders>
              <w:top w:val="nil"/>
              <w:left w:val="nil"/>
              <w:right w:val="nil"/>
            </w:tcBorders>
          </w:tcPr>
          <w:p w14:paraId="6FC0386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mL</w:t>
            </w:r>
          </w:p>
        </w:tc>
      </w:tr>
    </w:tbl>
    <w:p w14:paraId="08D52F4E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6688A91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450BD32B">
      <w:pPr>
        <w:jc w:val="left"/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>dC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TP中文名为脱氧胞苷三磷酸，常用于PCR、real-time PCR、RT-PCR、cDNA合成、引物延伸反应、DNA测序、DNA标记等各种常规分子生物学反应。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本产品为溶液钠盐形式，用超纯水配制，浓度为100 mM</w:t>
      </w: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经检测，d</w:t>
      </w: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>C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TP纯度≥99% (HPLC)，且无DNase和RNase污染。</w:t>
      </w:r>
    </w:p>
    <w:p w14:paraId="1C6B9482">
      <w:pPr>
        <w:jc w:val="left"/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本产品为即用型，可以直接用于PCR等各种常规分子生物学反应。</w:t>
      </w:r>
    </w:p>
    <w:p w14:paraId="3317AEA2">
      <w:pPr>
        <w:jc w:val="left"/>
        <w:rPr>
          <w:rFonts w:hint="default" w:ascii="思源雅黑" w:hAnsi="思源雅黑" w:eastAsia="思源雅黑" w:cs="思源雅黑"/>
          <w:i w:val="0"/>
          <w:iCs w:val="0"/>
          <w:caps w:val="0"/>
          <w:color w:val="3C506C"/>
          <w:spacing w:val="3"/>
          <w:sz w:val="15"/>
          <w:szCs w:val="15"/>
          <w:shd w:val="clear" w:fill="FFFFFF"/>
          <w:lang w:val="en-US" w:eastAsia="zh-CN"/>
        </w:rPr>
      </w:pPr>
    </w:p>
    <w:p w14:paraId="098C8EA5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产品属性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CBA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7C722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CAS号</w:t>
            </w:r>
          </w:p>
        </w:tc>
        <w:tc>
          <w:tcPr>
            <w:tcW w:w="4261" w:type="dxa"/>
          </w:tcPr>
          <w:p w14:paraId="467A0CD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lang w:val="en-US" w:eastAsia="zh-CN"/>
              </w:rPr>
              <w:t>109909-44-6</w:t>
            </w:r>
          </w:p>
        </w:tc>
      </w:tr>
      <w:tr w14:paraId="03ACF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F72379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分子式</w:t>
            </w:r>
          </w:p>
        </w:tc>
        <w:tc>
          <w:tcPr>
            <w:tcW w:w="4261" w:type="dxa"/>
          </w:tcPr>
          <w:p w14:paraId="68103E7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bCs/>
                <w:kern w:val="0"/>
                <w:sz w:val="21"/>
                <w:szCs w:val="21"/>
              </w:rPr>
              <w:t>C</w:t>
            </w:r>
            <w:r>
              <w:rPr>
                <w:rFonts w:hint="default" w:ascii="Times New Roman" w:hAnsi="Times New Roman"/>
                <w:bCs/>
                <w:kern w:val="0"/>
                <w:sz w:val="21"/>
                <w:szCs w:val="21"/>
                <w:vertAlign w:val="subscript"/>
              </w:rPr>
              <w:t>9</w:t>
            </w:r>
            <w:r>
              <w:rPr>
                <w:rFonts w:hint="default" w:ascii="Times New Roman" w:hAnsi="Times New Roman"/>
                <w:bCs/>
                <w:kern w:val="0"/>
                <w:sz w:val="21"/>
                <w:szCs w:val="21"/>
              </w:rPr>
              <w:t>H</w:t>
            </w: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/>
                <w:bCs/>
                <w:kern w:val="0"/>
                <w:sz w:val="21"/>
                <w:szCs w:val="21"/>
              </w:rPr>
              <w:t>N</w:t>
            </w:r>
            <w:r>
              <w:rPr>
                <w:rFonts w:hint="default" w:ascii="Times New Roman" w:hAnsi="Times New Roman"/>
                <w:bCs/>
                <w:kern w:val="0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Na</w:t>
            </w: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bCs/>
                <w:kern w:val="0"/>
                <w:sz w:val="21"/>
                <w:szCs w:val="21"/>
              </w:rPr>
              <w:t>O</w:t>
            </w:r>
            <w:r>
              <w:rPr>
                <w:rFonts w:hint="default" w:ascii="Times New Roman" w:hAnsi="Times New Roman"/>
                <w:bCs/>
                <w:kern w:val="0"/>
                <w:sz w:val="21"/>
                <w:szCs w:val="21"/>
                <w:vertAlign w:val="subscript"/>
              </w:rPr>
              <w:t>13</w:t>
            </w:r>
            <w:r>
              <w:rPr>
                <w:rFonts w:hint="default" w:ascii="Times New Roman" w:hAnsi="Times New Roman"/>
                <w:bCs/>
                <w:kern w:val="0"/>
                <w:sz w:val="21"/>
                <w:szCs w:val="21"/>
              </w:rPr>
              <w:t>P</w:t>
            </w:r>
            <w:r>
              <w:rPr>
                <w:rFonts w:hint="default" w:ascii="Times New Roman" w:hAnsi="Times New Roman"/>
                <w:bCs/>
                <w:kern w:val="0"/>
                <w:sz w:val="21"/>
                <w:szCs w:val="21"/>
                <w:vertAlign w:val="subscript"/>
              </w:rPr>
              <w:t>3</w:t>
            </w:r>
          </w:p>
        </w:tc>
      </w:tr>
      <w:tr w14:paraId="631E5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CC6E2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分子量</w:t>
            </w:r>
          </w:p>
        </w:tc>
        <w:tc>
          <w:tcPr>
            <w:tcW w:w="4261" w:type="dxa"/>
          </w:tcPr>
          <w:p w14:paraId="196F78E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lang w:val="en-US" w:eastAsia="zh-CN"/>
              </w:rPr>
              <w:t>533.1</w:t>
            </w:r>
            <w:r>
              <w:rPr>
                <w:rFonts w:ascii="Times New Roman" w:hAnsi="Times New Roman"/>
                <w:bCs/>
                <w:kern w:val="0"/>
                <w:sz w:val="21"/>
                <w:szCs w:val="21"/>
              </w:rPr>
              <w:t>g/mol</w:t>
            </w:r>
          </w:p>
        </w:tc>
      </w:tr>
      <w:tr w14:paraId="00A11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89124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纯度</w:t>
            </w:r>
          </w:p>
        </w:tc>
        <w:tc>
          <w:tcPr>
            <w:tcW w:w="4261" w:type="dxa"/>
          </w:tcPr>
          <w:p w14:paraId="41D678D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≥ 9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%</w:t>
            </w:r>
          </w:p>
        </w:tc>
      </w:tr>
      <w:tr w14:paraId="784B3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D7127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浓度</w:t>
            </w:r>
          </w:p>
        </w:tc>
        <w:tc>
          <w:tcPr>
            <w:tcW w:w="4261" w:type="dxa"/>
          </w:tcPr>
          <w:p w14:paraId="79AE8A0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100 ± 5mM</w:t>
            </w:r>
          </w:p>
        </w:tc>
      </w:tr>
      <w:tr w14:paraId="4BAB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A2E22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4E1313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827DF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结构式</w:t>
            </w:r>
          </w:p>
        </w:tc>
        <w:tc>
          <w:tcPr>
            <w:tcW w:w="4261" w:type="dxa"/>
          </w:tcPr>
          <w:p w14:paraId="747570D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371600" cy="990600"/>
                  <wp:effectExtent l="0" t="0" r="0" b="0"/>
                  <wp:docPr id="4" name="图片 4" descr="dCT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CTP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C3501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81A246A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1D8EC472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冰袋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运输，可在-15℃~ -25℃保存两年。</w:t>
      </w:r>
    </w:p>
    <w:p w14:paraId="149E2F18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93D0172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49AF2475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可以室温溶解，溶解后宜存放于冰盒内或冰浴上，使用完毕后宜立即置于-20ºC保存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</w:p>
    <w:p w14:paraId="583AD422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本产品仅限于科学研究用，不得用于临床诊断或治疗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。</w:t>
      </w:r>
    </w:p>
    <w:p w14:paraId="73FF3F9D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为了您的安全和健康，请穿实验服并戴一次性手套操作。</w:t>
      </w:r>
    </w:p>
    <w:p w14:paraId="00DF4AA8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092D6346">
      <w:pPr>
        <w:jc w:val="left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常见问题与解决方案</w:t>
      </w:r>
    </w:p>
    <w:p w14:paraId="063408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0" w:beforeAutospacing="0" w:after="105" w:afterAutospacing="0"/>
        <w:ind w:left="80" w:right="0" w:firstLine="0"/>
        <w:jc w:val="left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Q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：PCR 反应中 dNTP 起作用是什么原理？</w:t>
      </w:r>
    </w:p>
    <w:p w14:paraId="3D36A2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10" w:beforeAutospacing="0" w:after="105" w:afterAutospacing="0"/>
        <w:ind w:left="80" w:right="70" w:firstLine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A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：dNTP 既是复制的原料，又为链延长的过程提供能量。在细胞内，DNA 的复制需要四种脱氧核糖核苷酸作为原料，而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PCR 技术扩增目的基因需要的原料却是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dNTP（dATP、dGTP、dCTP、dTTP）（脱氧核苷酸三磷酸）。实际上，在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PCR 技术中，DNA 复制时直接参与合成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DNA 的是四种脱氧核苷酸三磷酸（dATP、dGTP、dCTP、dTTP，统称为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dNTP），在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DNA 聚合酶催化作用下，引物或者已合成的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DNA 链的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3’—羟基对进入的脱氧核苷酸三磷酸α—磷原子发生亲核攻击，从而形成 3’，5’—磷酸二酯键并脱下焦磷酸（PPi），形成磷酸二酯键所需要的能量来自α—与β—磷酸基之间高能磷酸键的裂解。</w:t>
      </w:r>
    </w:p>
    <w:p w14:paraId="09EB267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10" w:beforeAutospacing="0" w:after="105" w:afterAutospacing="0"/>
        <w:ind w:left="80" w:right="70" w:firstLine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 w14:paraId="6A914B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10" w:beforeAutospacing="0" w:after="105" w:afterAutospacing="0"/>
        <w:ind w:left="80" w:right="70" w:firstLine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Q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：这个产品可以用无菌水稀释吗，稀释后可以保存多久？</w:t>
      </w:r>
    </w:p>
    <w:p w14:paraId="3AFA69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10" w:beforeAutospacing="0" w:after="105" w:afterAutospacing="0"/>
        <w:ind w:left="80" w:right="70" w:firstLine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A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：用无菌水稀释即可，稀释后能保存多久未尝试，建议越早用完越好。</w:t>
      </w:r>
    </w:p>
    <w:p w14:paraId="4FB7D5A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10" w:beforeAutospacing="0" w:after="105" w:afterAutospacing="0"/>
        <w:ind w:left="80" w:right="70" w:firstLine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 w14:paraId="5AC7C424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FC58E">
    <w:pPr>
      <w:pStyle w:val="2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>No. 866 Moganshan Rd., Hangzhou, China</w:t>
    </w:r>
    <w:r>
      <w:rPr>
        <w:rFonts w:hint="eastAsia" w:ascii="Times New Roman" w:hAnsi="Times New Roman"/>
        <w:lang w:val="en-US" w:eastAsia="zh-CN"/>
      </w:rPr>
      <w:t xml:space="preserve">  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8255" b="698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</w:t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>-</w:t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>866</w:t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 xml:space="preserve">-2586  </w:t>
    </w:r>
  </w:p>
  <w:p w14:paraId="6907813A">
    <w:pPr>
      <w:pStyle w:val="2"/>
      <w:ind w:firstLine="360" w:firstLineChars="200"/>
      <w:jc w:val="center"/>
    </w:pP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11430" b="127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  <w:lang w:val="en-US" w:eastAsia="zh-CN"/>
      </w:rPr>
      <w:t>service</w:t>
    </w:r>
    <w:r>
      <w:rPr>
        <w:rFonts w:ascii="Times New Roman" w:hAnsi="Times New Roman"/>
      </w:rPr>
      <w:t xml:space="preserve">@PerfectmRNA.com  </w:t>
    </w:r>
    <w:r>
      <w:drawing>
        <wp:inline distT="0" distB="0" distL="0" distR="0">
          <wp:extent cx="130810" cy="130810"/>
          <wp:effectExtent l="0" t="0" r="8890" b="889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  <w:p w14:paraId="51EC97C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CA0E7">
    <w:pPr>
      <w:pStyle w:val="3"/>
      <w:rPr>
        <w:rFonts w:hint="eastAsia" w:ascii="仿宋_GB2312" w:eastAsia="仿宋_GB2312" w:cs="仿宋_GB2312"/>
        <w:sz w:val="21"/>
        <w:szCs w:val="21"/>
        <w:lang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</w:t>
    </w:r>
    <w:r>
      <w:rPr>
        <w:rFonts w:hint="eastAsia" w:ascii="仿宋_GB2312" w:eastAsia="仿宋_GB2312" w:cs="仿宋_GB2312"/>
        <w:sz w:val="28"/>
        <w:szCs w:val="28"/>
        <w:lang w:eastAsia="zh-CN"/>
      </w:rPr>
      <w:t xml:space="preserve">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</w:p>
  <w:p w14:paraId="2AD642F1">
    <w:pPr>
      <w:pStyle w:val="3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8F5C4"/>
    <w:multiLevelType w:val="singleLevel"/>
    <w:tmpl w:val="9F38F5C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ODRlZmI4ZGNmYTQ3MjkxZTE3MzIyN2YzOGM0NjUifQ=="/>
  </w:docVars>
  <w:rsids>
    <w:rsidRoot w:val="00000000"/>
    <w:rsid w:val="02987B74"/>
    <w:rsid w:val="06AD79E8"/>
    <w:rsid w:val="0C180CD7"/>
    <w:rsid w:val="11F44472"/>
    <w:rsid w:val="1E2B2A05"/>
    <w:rsid w:val="27474E05"/>
    <w:rsid w:val="29935CFF"/>
    <w:rsid w:val="370A20E7"/>
    <w:rsid w:val="3930633D"/>
    <w:rsid w:val="3F6A7BC7"/>
    <w:rsid w:val="44D35D7A"/>
    <w:rsid w:val="51D55A34"/>
    <w:rsid w:val="59212170"/>
    <w:rsid w:val="5BF134DA"/>
    <w:rsid w:val="75B91E9A"/>
    <w:rsid w:val="79CA11DC"/>
    <w:rsid w:val="7A34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6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877</Characters>
  <Lines>0</Lines>
  <Paragraphs>0</Paragraphs>
  <TotalTime>0</TotalTime>
  <ScaleCrop>false</ScaleCrop>
  <LinksUpToDate>false</LinksUpToDate>
  <CharactersWithSpaces>915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dcterms:modified xsi:type="dcterms:W3CDTF">2025-03-04T13:14:56Z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AB6B1223C9EE41D28D8612AC056E7871_13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