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D44DA">
      <w:pPr>
        <w:pStyle w:val="8"/>
        <w:tabs>
          <w:tab w:val="left" w:pos="1704"/>
          <w:tab w:val="center" w:pos="4153"/>
        </w:tabs>
        <w:spacing w:before="0" w:after="0"/>
        <w:rPr>
          <w:rFonts w:ascii="Times New Roman" w:hAnsi="Times New Roman" w:cs="Times New Roman" w:eastAsiaTheme="minorEastAsia"/>
          <w:sz w:val="30"/>
          <w:szCs w:val="30"/>
        </w:rPr>
      </w:pPr>
      <w:r>
        <w:rPr>
          <w:rFonts w:ascii="Times New Roman" w:hAnsi="Times New Roman" w:cs="Times New Roman" w:eastAsiaTheme="minorEastAsia"/>
          <w:sz w:val="30"/>
          <w:szCs w:val="30"/>
        </w:rPr>
        <w:t>检验报告</w:t>
      </w:r>
    </w:p>
    <w:p w14:paraId="7B65A7CA">
      <w:pPr>
        <w:spacing w:after="0" w:line="220" w:lineRule="atLeas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CERTIFICATE OF ANALYSIS</w:t>
      </w:r>
    </w:p>
    <w:p w14:paraId="609E8E60">
      <w:pPr>
        <w:spacing w:after="0"/>
        <w:ind w:left="634" w:leftChars="288"/>
        <w:rPr>
          <w:rFonts w:hint="default" w:ascii="Arial Unicode MS" w:hAnsi="Arial Unicode MS" w:cs="Arial Unicode MS" w:eastAsiaTheme="minorEastAsia"/>
          <w:sz w:val="24"/>
          <w:szCs w:val="24"/>
          <w:lang w:val="en-US" w:eastAsia="zh-CN"/>
        </w:rPr>
      </w:pPr>
      <w:r>
        <w:rPr>
          <w:rFonts w:hint="eastAsia" w:ascii="Arial Unicode MS" w:hAnsi="Arial Unicode MS" w:eastAsia="Arial Unicode MS" w:cs="Arial Unicode MS"/>
          <w:sz w:val="24"/>
          <w:szCs w:val="24"/>
        </w:rPr>
        <w:t>报告日期：</w:t>
      </w:r>
      <w:r>
        <w:rPr>
          <w:rFonts w:hint="eastAsia" w:ascii="Arial Unicode MS" w:hAnsi="Arial Unicode MS" w:eastAsia="Arial Unicode MS" w:cs="Arial Unicode MS"/>
          <w:sz w:val="24"/>
          <w:szCs w:val="24"/>
          <w:lang w:val="en-US" w:eastAsia="zh-CN"/>
        </w:rPr>
        <w:t>20251118</w:t>
      </w:r>
      <w:r>
        <w:rPr>
          <w:rFonts w:hint="eastAsia" w:ascii="Arial Unicode MS" w:hAnsi="Arial Unicode MS" w:eastAsia="Arial Unicode MS" w:cs="Arial Unicode MS"/>
          <w:sz w:val="24"/>
          <w:szCs w:val="24"/>
        </w:rPr>
        <w:t xml:space="preserve">                  </w:t>
      </w:r>
      <w:r>
        <w:rPr>
          <w:rFonts w:hint="eastAsia" w:ascii="Arial Unicode MS" w:hAnsi="Arial Unicode MS" w:eastAsia="Arial Unicode MS" w:cs="Arial Unicode MS"/>
          <w:sz w:val="24"/>
          <w:szCs w:val="24"/>
          <w:lang w:val="en-US" w:eastAsia="zh-CN"/>
        </w:rPr>
        <w:t xml:space="preserve">             复检日期：20281117</w:t>
      </w:r>
    </w:p>
    <w:tbl>
      <w:tblPr>
        <w:tblStyle w:val="10"/>
        <w:tblW w:w="965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3371"/>
        <w:gridCol w:w="3796"/>
      </w:tblGrid>
      <w:tr w14:paraId="72EE23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2488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2F9F404">
            <w:pPr>
              <w:spacing w:after="0" w:line="220" w:lineRule="atLeast"/>
              <w:jc w:val="center"/>
              <w:rPr>
                <w:rFonts w:cs="Times New Roman" w:asciiTheme="minorHAnsi" w:hAnsiTheme="minorHAnsi"/>
                <w:b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b/>
                <w:sz w:val="20"/>
                <w:szCs w:val="20"/>
              </w:rPr>
              <w:t>项目</w:t>
            </w:r>
          </w:p>
          <w:p w14:paraId="349A1896">
            <w:pPr>
              <w:spacing w:after="0" w:line="220" w:lineRule="atLeast"/>
              <w:jc w:val="center"/>
              <w:rPr>
                <w:rFonts w:cs="Times New Roman" w:asciiTheme="minorHAnsi" w:hAnsiTheme="minorHAnsi"/>
                <w:b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b/>
                <w:sz w:val="20"/>
                <w:szCs w:val="20"/>
              </w:rPr>
              <w:t>Item</w:t>
            </w:r>
          </w:p>
        </w:tc>
        <w:tc>
          <w:tcPr>
            <w:tcW w:w="3371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0E712D3">
            <w:pPr>
              <w:spacing w:after="0" w:line="220" w:lineRule="atLeast"/>
              <w:jc w:val="center"/>
              <w:rPr>
                <w:rFonts w:cs="Times New Roman" w:asciiTheme="minorHAnsi" w:hAnsiTheme="minorHAnsi"/>
                <w:b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b/>
                <w:sz w:val="20"/>
                <w:szCs w:val="20"/>
              </w:rPr>
              <w:t>结果</w:t>
            </w:r>
          </w:p>
          <w:p w14:paraId="24150D9B">
            <w:pPr>
              <w:spacing w:after="0" w:line="220" w:lineRule="atLeast"/>
              <w:jc w:val="center"/>
              <w:rPr>
                <w:rFonts w:cs="Times New Roman" w:asciiTheme="minorHAnsi" w:hAnsiTheme="minorHAnsi"/>
                <w:b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b/>
                <w:sz w:val="20"/>
                <w:szCs w:val="20"/>
              </w:rPr>
              <w:t>Result</w:t>
            </w:r>
          </w:p>
        </w:tc>
        <w:tc>
          <w:tcPr>
            <w:tcW w:w="3796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8AE0CE4">
            <w:pPr>
              <w:spacing w:after="0" w:line="220" w:lineRule="atLeast"/>
              <w:jc w:val="center"/>
              <w:rPr>
                <w:rFonts w:cs="Times New Roman" w:asciiTheme="minorHAnsi" w:hAnsiTheme="minorHAnsi"/>
                <w:b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b/>
                <w:sz w:val="20"/>
                <w:szCs w:val="20"/>
              </w:rPr>
              <w:t>结构式</w:t>
            </w:r>
          </w:p>
          <w:p w14:paraId="6A2F5660">
            <w:pPr>
              <w:spacing w:after="0" w:line="220" w:lineRule="atLeast"/>
              <w:jc w:val="center"/>
              <w:rPr>
                <w:rFonts w:cs="Times New Roman" w:asciiTheme="minorHAnsi" w:hAnsiTheme="minorHAnsi"/>
                <w:b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b/>
                <w:sz w:val="20"/>
                <w:szCs w:val="20"/>
              </w:rPr>
              <w:t>Structure</w:t>
            </w:r>
          </w:p>
        </w:tc>
      </w:tr>
      <w:tr w14:paraId="18F7BF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2488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5F0C472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名称</w:t>
            </w:r>
          </w:p>
          <w:p w14:paraId="5DE42A80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Name</w:t>
            </w:r>
          </w:p>
        </w:tc>
        <w:tc>
          <w:tcPr>
            <w:tcW w:w="3371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2893450">
            <w:pPr>
              <w:spacing w:after="0" w:line="220" w:lineRule="atLeast"/>
              <w:jc w:val="center"/>
              <w:rPr>
                <w:rFonts w:hint="default" w:cs="Times New Roman"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hint="default" w:cs="Times New Roman" w:asciiTheme="minorHAnsi" w:hAnsiTheme="minorHAnsi"/>
                <w:sz w:val="20"/>
                <w:szCs w:val="20"/>
                <w:lang w:val="en-US" w:eastAsia="zh-CN"/>
              </w:rPr>
              <w:t>利福昔明EP杂质D</w:t>
            </w:r>
          </w:p>
        </w:tc>
        <w:tc>
          <w:tcPr>
            <w:tcW w:w="3796" w:type="dxa"/>
            <w:vMerge w:val="restart"/>
            <w:tcBorders>
              <w:top w:val="single" w:color="000000" w:themeColor="text1" w:sz="12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F72EC28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839595" cy="1508760"/>
                  <wp:effectExtent l="0" t="0" r="8255" b="1524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595" cy="150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4921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CAD91B7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CAS号</w:t>
            </w:r>
          </w:p>
          <w:p w14:paraId="4D57F61E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CAS Number</w:t>
            </w:r>
          </w:p>
        </w:tc>
        <w:tc>
          <w:tcPr>
            <w:tcW w:w="33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4786055">
            <w:pPr>
              <w:spacing w:after="0" w:line="220" w:lineRule="atLeast"/>
              <w:jc w:val="center"/>
              <w:rPr>
                <w:rFonts w:hint="default" w:cs="Times New Roman"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HAnsi" w:hAnsiTheme="minorHAnsi"/>
                <w:sz w:val="20"/>
                <w:szCs w:val="20"/>
                <w:lang w:val="en-US" w:eastAsia="zh-CN"/>
              </w:rPr>
              <w:t>N/A</w:t>
            </w:r>
            <w:r>
              <w:rPr>
                <w:rFonts w:hint="default" w:cs="Times New Roman" w:asciiTheme="minorHAnsi" w:hAnsiTheme="minorHAnsi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3796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D815433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</w:p>
        </w:tc>
      </w:tr>
      <w:tr w14:paraId="042BAA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7FC9F9">
            <w:pPr>
              <w:spacing w:after="0" w:line="220" w:lineRule="atLeast"/>
              <w:jc w:val="center"/>
              <w:rPr>
                <w:rFonts w:hint="eastAsia" w:cs="Times New Roman" w:asciiTheme="minorHAnsi" w:hAnsiTheme="minorHAnsi"/>
                <w:sz w:val="20"/>
                <w:szCs w:val="20"/>
              </w:rPr>
            </w:pPr>
            <w:r>
              <w:rPr>
                <w:rFonts w:hint="eastAsia" w:cs="Times New Roman" w:asciiTheme="minorHAnsi" w:hAnsiTheme="minorHAnsi"/>
                <w:sz w:val="20"/>
                <w:szCs w:val="20"/>
              </w:rPr>
              <w:t>货号</w:t>
            </w:r>
          </w:p>
          <w:p w14:paraId="3BE855C5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hint="eastAsia" w:cs="Times New Roman" w:asciiTheme="minorHAnsi" w:hAnsiTheme="minorHAnsi"/>
                <w:sz w:val="20"/>
                <w:szCs w:val="20"/>
              </w:rPr>
              <w:t>Article Number</w:t>
            </w:r>
          </w:p>
        </w:tc>
        <w:tc>
          <w:tcPr>
            <w:tcW w:w="33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6D6448">
            <w:pPr>
              <w:spacing w:after="0" w:line="220" w:lineRule="atLeast"/>
              <w:jc w:val="center"/>
              <w:rPr>
                <w:rFonts w:hint="default" w:cs="Times New Roman" w:asciiTheme="minorHAnsi" w:hAnsiTheme="minorHAns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HAnsi" w:hAnsiTheme="minorHAnsi"/>
                <w:sz w:val="20"/>
                <w:szCs w:val="20"/>
                <w:lang w:val="en-US" w:eastAsia="zh-CN"/>
              </w:rPr>
              <w:t>WDS-LF1735</w:t>
            </w:r>
          </w:p>
        </w:tc>
        <w:tc>
          <w:tcPr>
            <w:tcW w:w="3796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874C8DF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</w:p>
        </w:tc>
      </w:tr>
      <w:tr w14:paraId="48C3A2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4803EFE">
            <w:pPr>
              <w:spacing w:after="0" w:line="220" w:lineRule="atLeast"/>
              <w:jc w:val="center"/>
              <w:rPr>
                <w:rFonts w:hint="eastAsia" w:cs="Times New Roman" w:asciiTheme="minorHAnsi" w:hAnsiTheme="minorHAnsi"/>
                <w:sz w:val="20"/>
                <w:szCs w:val="20"/>
              </w:rPr>
            </w:pPr>
            <w:r>
              <w:rPr>
                <w:rFonts w:hint="eastAsia" w:cs="Times New Roman" w:asciiTheme="minorHAnsi" w:hAnsiTheme="minorHAnsi"/>
                <w:sz w:val="20"/>
                <w:szCs w:val="20"/>
              </w:rPr>
              <w:t>批次</w:t>
            </w:r>
          </w:p>
          <w:p w14:paraId="439AB07B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hint="eastAsia" w:cs="Times New Roman" w:asciiTheme="minorHAnsi" w:hAnsiTheme="minorHAnsi"/>
                <w:sz w:val="20"/>
                <w:szCs w:val="20"/>
              </w:rPr>
              <w:t>Lot Number</w:t>
            </w:r>
          </w:p>
        </w:tc>
        <w:tc>
          <w:tcPr>
            <w:tcW w:w="33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E357231">
            <w:pPr>
              <w:spacing w:after="0" w:line="220" w:lineRule="atLeast"/>
              <w:jc w:val="center"/>
              <w:rPr>
                <w:rFonts w:hint="default" w:cs="Times New Roman"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HAnsi" w:hAnsiTheme="minorHAnsi"/>
                <w:sz w:val="20"/>
                <w:szCs w:val="20"/>
                <w:lang w:val="en-US" w:eastAsia="zh-CN"/>
              </w:rPr>
              <w:t>L616333</w:t>
            </w:r>
          </w:p>
        </w:tc>
        <w:tc>
          <w:tcPr>
            <w:tcW w:w="3796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F534934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</w:p>
        </w:tc>
      </w:tr>
      <w:tr w14:paraId="7CF90E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4CC163B">
            <w:pPr>
              <w:spacing w:after="0" w:line="220" w:lineRule="atLeast"/>
              <w:jc w:val="center"/>
              <w:rPr>
                <w:rFonts w:hint="eastAsia" w:cs="Times New Roman"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HAnsi" w:hAnsiTheme="minorHAnsi"/>
                <w:sz w:val="20"/>
                <w:szCs w:val="20"/>
                <w:lang w:val="en-US" w:eastAsia="zh-CN"/>
              </w:rPr>
              <w:t>分子量</w:t>
            </w:r>
          </w:p>
          <w:p w14:paraId="5E0169F7">
            <w:pPr>
              <w:spacing w:after="0" w:line="220" w:lineRule="atLeast"/>
              <w:jc w:val="center"/>
              <w:rPr>
                <w:rFonts w:hint="default" w:cs="Times New Roman"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Molecular Weight</w:t>
            </w:r>
          </w:p>
        </w:tc>
        <w:tc>
          <w:tcPr>
            <w:tcW w:w="33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3FF0890">
            <w:pPr>
              <w:spacing w:after="0" w:line="220" w:lineRule="atLeast"/>
              <w:jc w:val="center"/>
              <w:rPr>
                <w:rFonts w:hint="default" w:cs="Times New Roman"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hint="default" w:cs="Times New Roman" w:asciiTheme="minorHAnsi" w:hAnsiTheme="minorHAnsi"/>
                <w:sz w:val="20"/>
                <w:szCs w:val="20"/>
                <w:lang w:val="en-US" w:eastAsia="zh-CN"/>
              </w:rPr>
              <w:t>799.88</w:t>
            </w:r>
          </w:p>
        </w:tc>
        <w:tc>
          <w:tcPr>
            <w:tcW w:w="3796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6A2B2D5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</w:p>
        </w:tc>
      </w:tr>
      <w:tr w14:paraId="687844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0F4BC7">
            <w:pPr>
              <w:spacing w:after="0" w:line="220" w:lineRule="atLeast"/>
              <w:jc w:val="center"/>
              <w:rPr>
                <w:rFonts w:hint="eastAsia" w:cs="Times New Roman"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HAnsi" w:hAnsiTheme="minorHAnsi"/>
                <w:sz w:val="20"/>
                <w:szCs w:val="20"/>
                <w:lang w:val="en-US" w:eastAsia="zh-CN"/>
              </w:rPr>
              <w:t>分子式</w:t>
            </w:r>
          </w:p>
          <w:p w14:paraId="7E923CFD">
            <w:pPr>
              <w:spacing w:after="0" w:line="220" w:lineRule="atLeast"/>
              <w:jc w:val="center"/>
              <w:rPr>
                <w:rFonts w:hint="eastAsia" w:cs="Times New Roman"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Molecular Formula</w:t>
            </w:r>
          </w:p>
        </w:tc>
        <w:tc>
          <w:tcPr>
            <w:tcW w:w="33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09883F">
            <w:pPr>
              <w:spacing w:after="0" w:line="220" w:lineRule="atLeast"/>
              <w:jc w:val="center"/>
              <w:rPr>
                <w:rFonts w:hint="default" w:cs="Times New Roman"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hint="default" w:cs="Times New Roman" w:asciiTheme="minorHAnsi" w:hAnsiTheme="minorHAnsi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cs="Times New Roman" w:asciiTheme="minorHAnsi" w:hAnsiTheme="minorHAnsi"/>
                <w:sz w:val="20"/>
                <w:szCs w:val="20"/>
                <w:vertAlign w:val="subscript"/>
                <w:lang w:val="en-US" w:eastAsia="zh-CN"/>
              </w:rPr>
              <w:t>43</w:t>
            </w:r>
            <w:r>
              <w:rPr>
                <w:rFonts w:hint="default" w:cs="Times New Roman" w:asciiTheme="minorHAnsi" w:hAnsiTheme="minorHAnsi"/>
                <w:sz w:val="20"/>
                <w:szCs w:val="20"/>
                <w:lang w:val="en-US" w:eastAsia="zh-CN"/>
              </w:rPr>
              <w:t>H</w:t>
            </w:r>
            <w:r>
              <w:rPr>
                <w:rFonts w:hint="default" w:cs="Times New Roman" w:asciiTheme="minorHAnsi" w:hAnsiTheme="minorHAnsi"/>
                <w:sz w:val="20"/>
                <w:szCs w:val="20"/>
                <w:vertAlign w:val="subscript"/>
                <w:lang w:val="en-US" w:eastAsia="zh-CN"/>
              </w:rPr>
              <w:t>49</w:t>
            </w:r>
            <w:r>
              <w:rPr>
                <w:rFonts w:hint="default" w:cs="Times New Roman" w:asciiTheme="minorHAnsi" w:hAnsiTheme="minorHAnsi"/>
                <w:sz w:val="20"/>
                <w:szCs w:val="20"/>
                <w:lang w:val="en-US" w:eastAsia="zh-CN"/>
              </w:rPr>
              <w:t>N</w:t>
            </w:r>
            <w:r>
              <w:rPr>
                <w:rFonts w:hint="default" w:cs="Times New Roman" w:asciiTheme="minorHAnsi" w:hAnsiTheme="minorHAnsi"/>
                <w:sz w:val="20"/>
                <w:szCs w:val="20"/>
                <w:vertAlign w:val="subscript"/>
                <w:lang w:val="en-US" w:eastAsia="zh-CN"/>
              </w:rPr>
              <w:t>3</w:t>
            </w:r>
            <w:r>
              <w:rPr>
                <w:rFonts w:hint="default" w:cs="Times New Roman" w:asciiTheme="minorHAnsi" w:hAnsiTheme="minorHAnsi"/>
                <w:sz w:val="20"/>
                <w:szCs w:val="20"/>
                <w:lang w:val="en-US" w:eastAsia="zh-CN"/>
              </w:rPr>
              <w:t>O</w:t>
            </w:r>
            <w:r>
              <w:rPr>
                <w:rFonts w:hint="default" w:cs="Times New Roman" w:asciiTheme="minorHAnsi" w:hAnsiTheme="minorHAnsi"/>
                <w:sz w:val="20"/>
                <w:szCs w:val="20"/>
                <w:vertAlign w:val="subscript"/>
                <w:lang w:val="en-US" w:eastAsia="zh-CN"/>
              </w:rPr>
              <w:t>12</w:t>
            </w:r>
          </w:p>
        </w:tc>
        <w:tc>
          <w:tcPr>
            <w:tcW w:w="3796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4E90999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</w:p>
        </w:tc>
      </w:tr>
      <w:tr w14:paraId="6F6BC3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vAlign w:val="center"/>
          </w:tcPr>
          <w:p w14:paraId="66D01AE3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储存条件及有效期</w:t>
            </w:r>
          </w:p>
          <w:p w14:paraId="43F19019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Storage and Expiration</w:t>
            </w:r>
          </w:p>
        </w:tc>
        <w:tc>
          <w:tcPr>
            <w:tcW w:w="33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vAlign w:val="center"/>
          </w:tcPr>
          <w:p w14:paraId="55D6D6A5">
            <w:pPr>
              <w:spacing w:after="0" w:line="220" w:lineRule="atLeast"/>
              <w:jc w:val="center"/>
              <w:rPr>
                <w:rFonts w:ascii="Times New Roman" w:hAnsi="Times New Roman" w:cs="Times New Roman" w:eastAsiaTheme="majorEastAsia"/>
                <w:sz w:val="20"/>
                <w:szCs w:val="20"/>
              </w:rPr>
            </w:pPr>
            <w:r>
              <w:rPr>
                <w:rFonts w:hint="eastAsia" w:ascii="Times New Roman" w:hAnsi="Times New Roman" w:cs="Times New Roman" w:eastAsiaTheme="majorEastAsia"/>
                <w:sz w:val="20"/>
                <w:szCs w:val="20"/>
                <w:lang w:val="en-US" w:eastAsia="zh-CN"/>
              </w:rPr>
              <w:t>2-8</w:t>
            </w:r>
            <w:r>
              <w:rPr>
                <w:rFonts w:hint="eastAsia" w:ascii="Times New Roman" w:hAnsi="Times New Roman" w:cs="Times New Roman" w:eastAsiaTheme="majorEastAsia"/>
                <w:sz w:val="20"/>
                <w:szCs w:val="20"/>
              </w:rPr>
              <w:t>℃</w:t>
            </w:r>
            <w:r>
              <w:rPr>
                <w:rFonts w:hint="eastAsia" w:ascii="Times New Roman" w:hAnsi="Times New Roman" w:cs="Times New Roman" w:eastAsiaTheme="majorEastAsia"/>
                <w:sz w:val="20"/>
                <w:szCs w:val="20"/>
                <w:lang w:eastAsia="zh-CN"/>
              </w:rPr>
              <w:t>冷藏避光</w:t>
            </w:r>
            <w:r>
              <w:rPr>
                <w:rFonts w:ascii="Times New Roman" w:hAnsi="Times New Roman" w:cs="Times New Roman" w:eastAsiaTheme="majorEastAsia"/>
                <w:sz w:val="20"/>
                <w:szCs w:val="20"/>
              </w:rPr>
              <w:t>;</w:t>
            </w:r>
          </w:p>
          <w:p w14:paraId="21FF925F">
            <w:pPr>
              <w:spacing w:after="0" w:line="220" w:lineRule="atLeast"/>
              <w:jc w:val="center"/>
              <w:rPr>
                <w:rFonts w:hint="eastAsia" w:cs="Times New Roman" w:asciiTheme="minorHAnsi" w:hAnsiTheme="minorHAnsi" w:eastAsiaTheme="major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cs="Times New Roman" w:hAnsiTheme="majorEastAsia" w:eastAsiaTheme="majorEastAsia"/>
                <w:sz w:val="20"/>
                <w:szCs w:val="20"/>
              </w:rPr>
              <w:t>复验期</w:t>
            </w:r>
            <w:r>
              <w:rPr>
                <w:rFonts w:hint="eastAsia" w:ascii="Times New Roman" w:cs="Times New Roman" w:hAnsiTheme="majorEastAsia" w:eastAsiaTheme="majorEastAsia"/>
                <w:sz w:val="20"/>
                <w:szCs w:val="20"/>
                <w:lang w:val="en-US" w:eastAsia="zh-CN"/>
              </w:rPr>
              <w:t>3年</w:t>
            </w:r>
          </w:p>
        </w:tc>
        <w:tc>
          <w:tcPr>
            <w:tcW w:w="3796" w:type="dxa"/>
            <w:vMerge w:val="continue"/>
            <w:tcBorders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BA3BCC7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</w:p>
        </w:tc>
      </w:tr>
      <w:tr w14:paraId="64D22E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2488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vAlign w:val="center"/>
          </w:tcPr>
          <w:p w14:paraId="69CE9CAC">
            <w:pPr>
              <w:spacing w:after="0" w:line="220" w:lineRule="atLeast"/>
              <w:jc w:val="center"/>
              <w:rPr>
                <w:rFonts w:cs="Times New Roman" w:asciiTheme="minorHAnsi" w:hAnsiTheme="minorHAnsi"/>
                <w:b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b/>
                <w:sz w:val="20"/>
                <w:szCs w:val="20"/>
              </w:rPr>
              <w:t>分析项目</w:t>
            </w:r>
          </w:p>
          <w:p w14:paraId="56FF4494">
            <w:pPr>
              <w:spacing w:after="0" w:line="220" w:lineRule="atLeast"/>
              <w:jc w:val="center"/>
              <w:rPr>
                <w:rFonts w:cs="Times New Roman" w:asciiTheme="minorHAnsi" w:hAnsiTheme="minorHAnsi"/>
                <w:b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b/>
                <w:sz w:val="20"/>
                <w:szCs w:val="20"/>
              </w:rPr>
              <w:t>Item of Analysis</w:t>
            </w:r>
          </w:p>
        </w:tc>
        <w:tc>
          <w:tcPr>
            <w:tcW w:w="3371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vAlign w:val="center"/>
          </w:tcPr>
          <w:p w14:paraId="5CFD8F35">
            <w:pPr>
              <w:spacing w:after="0" w:line="220" w:lineRule="atLeast"/>
              <w:jc w:val="center"/>
              <w:rPr>
                <w:rFonts w:cs="Times New Roman" w:asciiTheme="minorHAnsi" w:hAnsiTheme="minorHAnsi"/>
                <w:b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b/>
                <w:sz w:val="20"/>
                <w:szCs w:val="20"/>
              </w:rPr>
              <w:t>指标</w:t>
            </w:r>
          </w:p>
          <w:p w14:paraId="17E949D8">
            <w:pPr>
              <w:spacing w:after="0" w:line="220" w:lineRule="atLeast"/>
              <w:jc w:val="center"/>
              <w:rPr>
                <w:rFonts w:cs="Times New Roman" w:asciiTheme="minorHAnsi" w:hAnsiTheme="minorHAnsi"/>
                <w:b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b/>
                <w:sz w:val="20"/>
                <w:szCs w:val="20"/>
              </w:rPr>
              <w:t>Standard</w:t>
            </w:r>
          </w:p>
        </w:tc>
        <w:tc>
          <w:tcPr>
            <w:tcW w:w="3796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vAlign w:val="center"/>
          </w:tcPr>
          <w:p w14:paraId="4CA91B9B">
            <w:pPr>
              <w:spacing w:after="0" w:line="220" w:lineRule="atLeast"/>
              <w:jc w:val="center"/>
              <w:rPr>
                <w:rFonts w:cs="Times New Roman" w:asciiTheme="minorHAnsi" w:hAnsiTheme="minorHAnsi"/>
                <w:b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b/>
                <w:sz w:val="20"/>
                <w:szCs w:val="20"/>
              </w:rPr>
              <w:t>分析结果</w:t>
            </w:r>
          </w:p>
          <w:p w14:paraId="3AA6D9F6">
            <w:pPr>
              <w:spacing w:after="0" w:line="220" w:lineRule="atLeast"/>
              <w:jc w:val="center"/>
              <w:rPr>
                <w:rFonts w:cs="Times New Roman" w:asciiTheme="minorHAnsi" w:hAnsiTheme="minorHAnsi"/>
                <w:b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b/>
                <w:sz w:val="20"/>
                <w:szCs w:val="20"/>
              </w:rPr>
              <w:t>Result of Analysis</w:t>
            </w:r>
          </w:p>
        </w:tc>
      </w:tr>
      <w:tr w14:paraId="253165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2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B685D6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纯度</w:t>
            </w:r>
          </w:p>
          <w:p w14:paraId="2EC4B831">
            <w:pPr>
              <w:spacing w:after="0" w:line="220" w:lineRule="atLeast"/>
              <w:jc w:val="center"/>
              <w:rPr>
                <w:rFonts w:hint="default" w:cs="Times New Roman" w:asciiTheme="minorHAnsi" w:hAnsiTheme="minorHAns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Purity</w:t>
            </w:r>
            <w:r>
              <w:rPr>
                <w:rFonts w:hint="eastAsia" w:cs="Times New Roman" w:asciiTheme="minorHAnsi" w:hAnsiTheme="minorHAnsi"/>
                <w:sz w:val="20"/>
                <w:szCs w:val="20"/>
                <w:lang w:val="en-US" w:eastAsia="zh-CN"/>
              </w:rPr>
              <w:t>(HPLC</w:t>
            </w:r>
            <w:bookmarkStart w:id="0" w:name="_GoBack"/>
            <w:bookmarkEnd w:id="0"/>
            <w:r>
              <w:rPr>
                <w:rFonts w:hint="eastAsia" w:cs="Times New Roman" w:asciiTheme="minorHAnsi" w:hAnsiTheme="minorHAnsi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33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BAEE07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≥</w:t>
            </w:r>
            <w:r>
              <w:rPr>
                <w:rFonts w:hint="eastAsia" w:cs="Times New Roman" w:asciiTheme="minorHAnsi" w:hAnsiTheme="minorHAnsi"/>
                <w:sz w:val="20"/>
                <w:szCs w:val="20"/>
              </w:rPr>
              <w:t>95.0%</w:t>
            </w:r>
          </w:p>
        </w:tc>
        <w:tc>
          <w:tcPr>
            <w:tcW w:w="37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6120D10">
            <w:pPr>
              <w:spacing w:after="0" w:line="220" w:lineRule="atLeast"/>
              <w:jc w:val="center"/>
              <w:rPr>
                <w:rFonts w:hint="default" w:cs="Times New Roman" w:asciiTheme="minorHAnsi" w:hAnsiTheme="minorHAns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HAnsi" w:hAnsiTheme="minorHAnsi"/>
                <w:sz w:val="20"/>
                <w:szCs w:val="20"/>
                <w:lang w:val="en-US" w:eastAsia="zh-CN"/>
              </w:rPr>
              <w:t>97.50%</w:t>
            </w:r>
          </w:p>
        </w:tc>
      </w:tr>
      <w:tr w14:paraId="301645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9BF8C41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氢核磁共振</w:t>
            </w:r>
          </w:p>
          <w:p w14:paraId="4B97BE4B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1H-NMR</w:t>
            </w:r>
          </w:p>
        </w:tc>
        <w:tc>
          <w:tcPr>
            <w:tcW w:w="33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EDC176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氢谱标准</w:t>
            </w:r>
          </w:p>
          <w:p w14:paraId="64D7E804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Hydrogen standard</w:t>
            </w:r>
          </w:p>
        </w:tc>
        <w:tc>
          <w:tcPr>
            <w:tcW w:w="37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8EBB5E6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合格</w:t>
            </w:r>
          </w:p>
          <w:p w14:paraId="7B57584E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Qualified</w:t>
            </w:r>
          </w:p>
        </w:tc>
      </w:tr>
      <w:tr w14:paraId="6A76D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EF2A473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质谱</w:t>
            </w:r>
          </w:p>
          <w:p w14:paraId="29C5420B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MS</w:t>
            </w:r>
          </w:p>
        </w:tc>
        <w:tc>
          <w:tcPr>
            <w:tcW w:w="33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1BE37E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分子量</w:t>
            </w:r>
          </w:p>
          <w:p w14:paraId="07CDB5AF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Molecular weight</w:t>
            </w:r>
          </w:p>
        </w:tc>
        <w:tc>
          <w:tcPr>
            <w:tcW w:w="37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EDF321D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合格</w:t>
            </w:r>
          </w:p>
          <w:p w14:paraId="58EC6E5F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Qualified</w:t>
            </w:r>
          </w:p>
        </w:tc>
      </w:tr>
      <w:tr w14:paraId="188E16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07B0536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结论</w:t>
            </w:r>
          </w:p>
          <w:p w14:paraId="1F9AF179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Final Definition</w:t>
            </w:r>
          </w:p>
        </w:tc>
        <w:tc>
          <w:tcPr>
            <w:tcW w:w="716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F9D713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合格</w:t>
            </w:r>
          </w:p>
          <w:p w14:paraId="0AF34181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Qualified</w:t>
            </w:r>
          </w:p>
        </w:tc>
      </w:tr>
      <w:tr w14:paraId="1478B1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070BFF2">
            <w:pPr>
              <w:spacing w:after="0" w:line="220" w:lineRule="atLeast"/>
              <w:jc w:val="center"/>
              <w:rPr>
                <w:rFonts w:hint="eastAsia" w:cs="Times New Roman" w:asciiTheme="minorHAnsi" w:hAnsiTheme="minorHAnsi" w:eastAsiaTheme="minorEastAsia"/>
                <w:sz w:val="20"/>
                <w:szCs w:val="20"/>
                <w:lang w:eastAsia="zh-CN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复核者</w:t>
            </w:r>
          </w:p>
          <w:p w14:paraId="42295675">
            <w:pPr>
              <w:spacing w:after="0" w:line="220" w:lineRule="atLeast"/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cs="Times New Roman" w:asciiTheme="minorHAnsi" w:hAnsiTheme="minorHAnsi"/>
                <w:sz w:val="20"/>
                <w:szCs w:val="20"/>
              </w:rPr>
              <w:t>Checker</w:t>
            </w:r>
          </w:p>
        </w:tc>
        <w:tc>
          <w:tcPr>
            <w:tcW w:w="716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290BFE5">
            <w:pPr>
              <w:jc w:val="center"/>
              <w:rPr>
                <w:rFonts w:cs="Times New Roman" w:asciiTheme="minorHAnsi" w:hAnsiTheme="minorHAnsi"/>
                <w:sz w:val="20"/>
                <w:szCs w:val="20"/>
              </w:rPr>
            </w:pPr>
          </w:p>
        </w:tc>
      </w:tr>
      <w:tr w14:paraId="074AD4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96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365ECE3">
            <w:pPr>
              <w:rPr>
                <w:rFonts w:hint="eastAsia" w:ascii="Times New Roman" w:hAnsi="Times New Roman" w:cs="Times New Roman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0"/>
                <w:szCs w:val="20"/>
              </w:rPr>
              <w:t>备注：</w:t>
            </w:r>
            <w:r>
              <w:rPr>
                <w:rFonts w:hint="eastAsia" w:ascii="Times New Roman" w:hAnsi="Times New Roman" w:cs="Times New Roman" w:eastAsiaTheme="majorEastAsia"/>
                <w:sz w:val="20"/>
                <w:szCs w:val="20"/>
                <w:lang w:val="en-US" w:eastAsia="zh-CN"/>
              </w:rPr>
              <w:t>仅供研发用途，不能用于人体或动物临床。</w:t>
            </w:r>
          </w:p>
          <w:p w14:paraId="49155468">
            <w:pPr>
              <w:rPr>
                <w:rFonts w:cs="Times New Roman" w:asciiTheme="minorHAnsi" w:hAnsiTheme="minorHAnsi"/>
                <w:sz w:val="20"/>
                <w:szCs w:val="20"/>
              </w:rPr>
            </w:pPr>
            <w:r>
              <w:rPr>
                <w:rFonts w:hint="eastAsia" w:ascii="Times New Roman" w:hAnsi="Times New Roman" w:cs="Times New Roman" w:eastAsiaTheme="majorEastAsia"/>
                <w:sz w:val="20"/>
                <w:szCs w:val="20"/>
                <w:lang w:val="en-US" w:eastAsia="zh-CN"/>
              </w:rPr>
              <w:t>冷藏及冷冻样品于干燥器中放置 10-15 分钟，回温到近室温，再称样，避免吸潮。</w:t>
            </w:r>
          </w:p>
        </w:tc>
      </w:tr>
    </w:tbl>
    <w:p w14:paraId="0FC6EE7D">
      <w:pPr>
        <w:spacing w:line="220" w:lineRule="atLeast"/>
        <w:rPr>
          <w:rFonts w:hint="default" w:ascii="Times New Roman" w:hAnsi="Times New Roman" w:cs="Times New Roman" w:eastAsiaTheme="minorEastAsia"/>
          <w:b/>
          <w:sz w:val="28"/>
          <w:szCs w:val="28"/>
          <w:lang w:val="en-US" w:eastAsia="zh-CN"/>
        </w:rPr>
      </w:pPr>
      <w:r>
        <w:rPr>
          <w:rStyle w:val="13"/>
          <w:rFonts w:hint="eastAsia"/>
        </w:rPr>
        <w:t>附件：</w:t>
      </w:r>
      <w:r>
        <w:rPr>
          <w:rFonts w:hint="eastAsia" w:asciiTheme="minorEastAsia" w:hAnsiTheme="minorEastAsia"/>
          <w:sz w:val="21"/>
          <w:szCs w:val="21"/>
        </w:rPr>
        <w:t>HPLC、MS、HNMR</w:t>
      </w:r>
    </w:p>
    <w:sectPr>
      <w:headerReference r:id="rId4" w:type="default"/>
      <w:footerReference r:id="rId5" w:type="default"/>
      <w:pgSz w:w="11906" w:h="16838"/>
      <w:pgMar w:top="1440" w:right="1080" w:bottom="1440" w:left="1080" w:header="708" w:footer="708" w:gutter="0"/>
      <w:pgNumType w:start="1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19EF1">
    <w:pPr>
      <w:pStyle w:val="6"/>
      <w:spacing w:after="0"/>
      <w:jc w:val="right"/>
      <w:rPr>
        <w:rFonts w:asciiTheme="minorEastAsia" w:hAnsiTheme="minorEastAsia"/>
        <w:sz w:val="21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-24765</wp:posOffset>
              </wp:positionH>
              <wp:positionV relativeFrom="paragraph">
                <wp:posOffset>210820</wp:posOffset>
              </wp:positionV>
              <wp:extent cx="6216650" cy="0"/>
              <wp:effectExtent l="0" t="0" r="0" b="0"/>
              <wp:wrapNone/>
              <wp:docPr id="2" name="直线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16650" cy="0"/>
                      </a:xfrm>
                      <a:prstGeom prst="line">
                        <a:avLst/>
                      </a:prstGeom>
                      <a:ln w="254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连接符 2" o:spid="_x0000_s1026" o:spt="20" style="position:absolute;left:0pt;flip:x;margin-left:-1.95pt;margin-top:16.6pt;height:0pt;width:489.5pt;z-index:251659264;mso-width-relative:page;mso-height-relative:page;" filled="f" stroked="t" coordsize="21600,21600" o:gfxdata="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aihydkAAAAIAQAADwAAAAAAAAABACAAAAAiAAAA&#10;ZHJzL2Rvd25yZXYueG1sUEsBAhQAFAAAAAgAh07iQPAJOC8/AgAAiwQAAA4AAAAAAAAAAQAgAAAA&#10;KAEAAGRycy9lMm9Eb2MueG1sUEsFBgAAAAAGAAYAWQEAANkFAAAAAA==&#10;">
              <v:fill on="f" focussize="0,0"/>
              <v:stroke weight="2pt" color="#000000" joinstyle="round"/>
              <v:imagedata o:title=""/>
              <o:lock v:ext="edit" aspectratio="f"/>
              <v:shadow on="t" color="#000000" opacity="24903f" offset="0pt,1.5748031496063pt" origin="0f,32768f" matrix="65536f,0f,0f,65536f"/>
            </v:line>
          </w:pict>
        </mc:Fallback>
      </mc:AlternateContent>
    </w:r>
    <w:r>
      <w:ptab w:relativeTo="margin" w:alignment="center" w:leader="none"/>
    </w:r>
    <w:r>
      <w:rPr>
        <w:rFonts w:asciiTheme="minorEastAsia" w:hAnsiTheme="minorEastAsia"/>
        <w:sz w:val="21"/>
        <w:szCs w:val="21"/>
      </w:rPr>
      <w:ptab w:relativeTo="margin" w:alignment="left" w:leader="none"/>
    </w:r>
  </w:p>
  <w:p w14:paraId="03BB1C44">
    <w:pPr>
      <w:pStyle w:val="6"/>
      <w:spacing w:after="0"/>
      <w:ind w:right="800"/>
      <w:jc w:val="center"/>
      <w:rPr>
        <w:rFonts w:asciiTheme="minorEastAsia" w:hAnsiTheme="minorEastAsia"/>
        <w:sz w:val="20"/>
        <w:szCs w:val="20"/>
      </w:rPr>
    </w:pPr>
    <w:r>
      <w:rPr>
        <w:rFonts w:hint="eastAsia"/>
      </w:rPr>
      <w:t>官网：https://www.worldsun-chem.com/</w:t>
    </w:r>
    <w:r>
      <w:t xml:space="preserve">    </w:t>
    </w:r>
  </w:p>
  <w:p w14:paraId="775B78BA">
    <w:pPr>
      <w:pStyle w:val="6"/>
      <w:spacing w:after="0"/>
      <w:jc w:val="right"/>
      <w:rPr>
        <w:rFonts w:asciiTheme="minorEastAsia" w:hAnsiTheme="minorEastAsia"/>
        <w:sz w:val="21"/>
        <w:szCs w:val="21"/>
      </w:rPr>
    </w:pPr>
  </w:p>
  <w:p w14:paraId="7F986155">
    <w:pPr>
      <w:pStyle w:val="6"/>
      <w:jc w:val="center"/>
      <w:rPr>
        <w:color w:val="4F81BD" w:themeColor="accent1"/>
        <w14:textFill>
          <w14:solidFill>
            <w14:schemeClr w14:val="accent1"/>
          </w14:solidFill>
        </w14:textFill>
      </w:rPr>
    </w:pPr>
    <w:r>
      <w:rPr>
        <w:color w:val="4F81BD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14:textFill>
          <w14:solidFill>
            <w14:schemeClr w14:val="accent1"/>
          </w14:solidFill>
        </w14:textFill>
      </w:rPr>
      <w:instrText xml:space="preserve">PAGE  \* Arabic  \* MERGEFORMAT</w:instrTex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F81BD" w:themeColor="accent1"/>
        <w14:textFill>
          <w14:solidFill>
            <w14:schemeClr w14:val="accent1"/>
          </w14:solidFill>
        </w14:textFill>
      </w:rPr>
      <w:t>1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end"/>
    </w:r>
    <w:r>
      <w:rPr>
        <w:color w:val="4F81BD" w:themeColor="accent1"/>
        <w14:textFill>
          <w14:solidFill>
            <w14:schemeClr w14:val="accent1"/>
          </w14:solidFill>
        </w14:textFill>
      </w:rPr>
      <w:t xml:space="preserve"> / 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color w:val="4F81BD" w:themeColor="accent1"/>
        <w14:textFill>
          <w14:solidFill>
            <w14:schemeClr w14:val="accent1"/>
          </w14:solidFill>
        </w14:textFill>
      </w:rPr>
      <w:t>2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F80FA">
    <w:pPr>
      <w:spacing w:after="0"/>
      <w:jc w:val="both"/>
      <w:rPr>
        <w:rFonts w:ascii="Times New Roman" w:cs="Times New Roman" w:hAnsiTheme="minorEastAsia"/>
        <w:sz w:val="52"/>
        <w:szCs w:val="52"/>
      </w:rPr>
    </w:pPr>
    <w:r>
      <w:rPr>
        <w:rStyle w:val="19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441960</wp:posOffset>
          </wp:positionH>
          <wp:positionV relativeFrom="paragraph">
            <wp:posOffset>-86360</wp:posOffset>
          </wp:positionV>
          <wp:extent cx="629285" cy="605155"/>
          <wp:effectExtent l="0" t="0" r="18415" b="4445"/>
          <wp:wrapTight wrapText="bothSides">
            <wp:wrapPolygon>
              <wp:start x="0" y="0"/>
              <wp:lineTo x="0" y="21079"/>
              <wp:lineTo x="20924" y="21079"/>
              <wp:lineTo x="20924" y="0"/>
              <wp:lineTo x="0" y="0"/>
            </wp:wrapPolygon>
          </wp:wrapTight>
          <wp:docPr id="6" name="图片 2" descr="9e3e9b9c14abf115dfdd7a96ab8ddb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" descr="9e3e9b9c14abf115dfdd7a96ab8ddb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28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9"/>
        <w:rFonts w:hint="eastAsia"/>
        <w:lang w:val="en-US" w:eastAsia="zh-CN"/>
      </w:rPr>
      <w:t xml:space="preserve">          </w:t>
    </w:r>
    <w:r>
      <w:rPr>
        <w:rStyle w:val="19"/>
      </w:rPr>
      <w:t>山东</w:t>
    </w:r>
    <w:r>
      <w:rPr>
        <w:rStyle w:val="19"/>
        <w:rFonts w:hint="eastAsia"/>
      </w:rPr>
      <w:t>沃德森生物</w:t>
    </w:r>
    <w:r>
      <w:rPr>
        <w:rStyle w:val="19"/>
      </w:rPr>
      <w:t>科技有限</w:t>
    </w:r>
    <w:r>
      <w:rPr>
        <w:rStyle w:val="19"/>
        <w:rFonts w:hint="eastAsia"/>
      </w:rPr>
      <w:t>公</w:t>
    </w:r>
    <w:r>
      <w:rPr>
        <w:rStyle w:val="19"/>
      </w:rPr>
      <w:t>司</w:t>
    </w:r>
  </w:p>
  <w:p w14:paraId="263A8015">
    <w:pPr>
      <w:ind w:firstLine="211" w:firstLineChars="100"/>
      <w:jc w:val="center"/>
      <w:rPr>
        <w:rFonts w:cs="Times New Roman"/>
        <w:b/>
        <w:sz w:val="21"/>
        <w:szCs w:val="21"/>
      </w:rPr>
    </w:pPr>
    <w:r>
      <w:rPr>
        <w:rFonts w:cs="Times New Roman"/>
        <w:b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177165</wp:posOffset>
              </wp:positionV>
              <wp:extent cx="6218555" cy="0"/>
              <wp:effectExtent l="0" t="0" r="0" b="0"/>
              <wp:wrapNone/>
              <wp:docPr id="4" name="直线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8555" cy="0"/>
                      </a:xfrm>
                      <a:prstGeom prst="line">
                        <a:avLst/>
                      </a:prstGeom>
                      <a:ln w="254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连接符 3" o:spid="_x0000_s1026" o:spt="20" style="position:absolute;left:0pt;margin-left:0.3pt;margin-top:13.95pt;height:0pt;width:489.65pt;z-index:251660288;mso-width-relative:page;mso-height-relative:page;" filled="f" stroked="t" coordsize="21600,21600" o:gfxdata="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JZJLD9gAAAAGAQAADwAAAAAAAAABACAAAAAiAAAAZHJzL2Rv&#10;d25yZXYueG1sUEsBAhQAFAAAAAgAh07iQKV9sqg6AgAAgQQAAA4AAAAAAAAAAQAgAAAAJwEAAGRy&#10;cy9lMm9Eb2MueG1sUEsFBgAAAAAGAAYAWQEAANMFAAAAAA==&#10;">
              <v:fill on="f" focussize="0,0"/>
              <v:stroke weight="2pt" color="#000000" joinstyle="round"/>
              <v:imagedata o:title=""/>
              <o:lock v:ext="edit" aspectratio="f"/>
              <v:shadow on="t" color="#000000" opacity="24903f" offset="0pt,1.5748031496063pt" origin="0f,32768f" matrix="65536f,0f,0f,65536f"/>
            </v:line>
          </w:pict>
        </mc:Fallback>
      </mc:AlternateContent>
    </w:r>
    <w:r>
      <w:rPr>
        <w:rFonts w:hint="eastAsia" w:cs="Times New Roman"/>
        <w:b/>
        <w:sz w:val="21"/>
        <w:szCs w:val="21"/>
        <w:lang w:val="en-US" w:eastAsia="zh-CN"/>
      </w:rPr>
      <w:t xml:space="preserve"> </w:t>
    </w:r>
    <w:r>
      <w:rPr>
        <w:rFonts w:hint="eastAsia" w:cs="Times New Roman"/>
        <w:b/>
        <w:sz w:val="21"/>
        <w:szCs w:val="21"/>
      </w:rPr>
      <w:t>ShanDong WoDeSen Bioscience Technology Co., Ltd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HorizontalSpacing w:val="11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YzZkMzBkYWJiZWQ4YjBhODFmYmE5MzRiMzE2NzMifQ=="/>
  </w:docVars>
  <w:rsids>
    <w:rsidRoot w:val="00731BBE"/>
    <w:rsid w:val="00020553"/>
    <w:rsid w:val="00036055"/>
    <w:rsid w:val="000556A9"/>
    <w:rsid w:val="00062833"/>
    <w:rsid w:val="00063EE3"/>
    <w:rsid w:val="00073565"/>
    <w:rsid w:val="000876BC"/>
    <w:rsid w:val="00091A32"/>
    <w:rsid w:val="000A6268"/>
    <w:rsid w:val="000B4EBE"/>
    <w:rsid w:val="000C40CF"/>
    <w:rsid w:val="000D2EA1"/>
    <w:rsid w:val="001328FF"/>
    <w:rsid w:val="00134382"/>
    <w:rsid w:val="001424C7"/>
    <w:rsid w:val="0014526E"/>
    <w:rsid w:val="00167658"/>
    <w:rsid w:val="001C624A"/>
    <w:rsid w:val="001F14BD"/>
    <w:rsid w:val="002251D1"/>
    <w:rsid w:val="0023337B"/>
    <w:rsid w:val="002633FA"/>
    <w:rsid w:val="00264CF8"/>
    <w:rsid w:val="002D7215"/>
    <w:rsid w:val="002E53B9"/>
    <w:rsid w:val="002F343B"/>
    <w:rsid w:val="002F7F54"/>
    <w:rsid w:val="003231D9"/>
    <w:rsid w:val="00332DA8"/>
    <w:rsid w:val="00386FAD"/>
    <w:rsid w:val="003A4A0D"/>
    <w:rsid w:val="003D5095"/>
    <w:rsid w:val="004107EB"/>
    <w:rsid w:val="00425604"/>
    <w:rsid w:val="00456961"/>
    <w:rsid w:val="00473A72"/>
    <w:rsid w:val="0048058F"/>
    <w:rsid w:val="00497486"/>
    <w:rsid w:val="004F0D22"/>
    <w:rsid w:val="004F798B"/>
    <w:rsid w:val="00504B74"/>
    <w:rsid w:val="00524579"/>
    <w:rsid w:val="00550826"/>
    <w:rsid w:val="00564278"/>
    <w:rsid w:val="00572909"/>
    <w:rsid w:val="00572D7F"/>
    <w:rsid w:val="00577BAC"/>
    <w:rsid w:val="005814B3"/>
    <w:rsid w:val="00590887"/>
    <w:rsid w:val="005A6291"/>
    <w:rsid w:val="005C0202"/>
    <w:rsid w:val="005D364D"/>
    <w:rsid w:val="005E7A5B"/>
    <w:rsid w:val="005E7DEC"/>
    <w:rsid w:val="0065250F"/>
    <w:rsid w:val="00660667"/>
    <w:rsid w:val="0067574C"/>
    <w:rsid w:val="00686E4E"/>
    <w:rsid w:val="006B4F16"/>
    <w:rsid w:val="006B7E99"/>
    <w:rsid w:val="006E4083"/>
    <w:rsid w:val="00711A41"/>
    <w:rsid w:val="007267B7"/>
    <w:rsid w:val="00731BBE"/>
    <w:rsid w:val="0074038D"/>
    <w:rsid w:val="007437D8"/>
    <w:rsid w:val="007529F2"/>
    <w:rsid w:val="00754EB8"/>
    <w:rsid w:val="0076679A"/>
    <w:rsid w:val="00771422"/>
    <w:rsid w:val="00786003"/>
    <w:rsid w:val="007A508C"/>
    <w:rsid w:val="007D5DBD"/>
    <w:rsid w:val="007F33D9"/>
    <w:rsid w:val="008259EB"/>
    <w:rsid w:val="0082613F"/>
    <w:rsid w:val="00840704"/>
    <w:rsid w:val="00855E4B"/>
    <w:rsid w:val="0086043E"/>
    <w:rsid w:val="008613B2"/>
    <w:rsid w:val="00876789"/>
    <w:rsid w:val="0088000C"/>
    <w:rsid w:val="008A1C20"/>
    <w:rsid w:val="00901021"/>
    <w:rsid w:val="00910180"/>
    <w:rsid w:val="009209F8"/>
    <w:rsid w:val="00924712"/>
    <w:rsid w:val="00952415"/>
    <w:rsid w:val="00962800"/>
    <w:rsid w:val="00965A1D"/>
    <w:rsid w:val="009935BF"/>
    <w:rsid w:val="00A07393"/>
    <w:rsid w:val="00A25717"/>
    <w:rsid w:val="00A30A1A"/>
    <w:rsid w:val="00A805A1"/>
    <w:rsid w:val="00A83802"/>
    <w:rsid w:val="00AC157D"/>
    <w:rsid w:val="00AC470A"/>
    <w:rsid w:val="00AD558A"/>
    <w:rsid w:val="00AE1F1A"/>
    <w:rsid w:val="00AE30EF"/>
    <w:rsid w:val="00AF2F98"/>
    <w:rsid w:val="00AF5D3F"/>
    <w:rsid w:val="00B1602F"/>
    <w:rsid w:val="00B25BEC"/>
    <w:rsid w:val="00B438D0"/>
    <w:rsid w:val="00B74BE0"/>
    <w:rsid w:val="00BB5722"/>
    <w:rsid w:val="00BE495E"/>
    <w:rsid w:val="00C147A0"/>
    <w:rsid w:val="00C16FB7"/>
    <w:rsid w:val="00C21254"/>
    <w:rsid w:val="00C37566"/>
    <w:rsid w:val="00C572C6"/>
    <w:rsid w:val="00C60525"/>
    <w:rsid w:val="00C60CB4"/>
    <w:rsid w:val="00C91812"/>
    <w:rsid w:val="00CA632A"/>
    <w:rsid w:val="00CB5F07"/>
    <w:rsid w:val="00CC5891"/>
    <w:rsid w:val="00CD5B6A"/>
    <w:rsid w:val="00CD7EA2"/>
    <w:rsid w:val="00CF1938"/>
    <w:rsid w:val="00D11CB2"/>
    <w:rsid w:val="00D222ED"/>
    <w:rsid w:val="00D22B6A"/>
    <w:rsid w:val="00D268DF"/>
    <w:rsid w:val="00D34C8E"/>
    <w:rsid w:val="00D474E7"/>
    <w:rsid w:val="00D5740F"/>
    <w:rsid w:val="00DB0968"/>
    <w:rsid w:val="00DC25C7"/>
    <w:rsid w:val="00DD1BD8"/>
    <w:rsid w:val="00DD4FB9"/>
    <w:rsid w:val="00DE18B5"/>
    <w:rsid w:val="00DF00A0"/>
    <w:rsid w:val="00DF162B"/>
    <w:rsid w:val="00E26177"/>
    <w:rsid w:val="00E302FC"/>
    <w:rsid w:val="00E54F10"/>
    <w:rsid w:val="00EB29B9"/>
    <w:rsid w:val="00EC242C"/>
    <w:rsid w:val="00EC4830"/>
    <w:rsid w:val="00EC4E8C"/>
    <w:rsid w:val="00EE10C2"/>
    <w:rsid w:val="00EF7782"/>
    <w:rsid w:val="00F16352"/>
    <w:rsid w:val="00F40442"/>
    <w:rsid w:val="00F50DCA"/>
    <w:rsid w:val="00F6479D"/>
    <w:rsid w:val="00F6550E"/>
    <w:rsid w:val="00F66F01"/>
    <w:rsid w:val="00FA61B5"/>
    <w:rsid w:val="00FA76E5"/>
    <w:rsid w:val="00FC2E2B"/>
    <w:rsid w:val="00FC4858"/>
    <w:rsid w:val="00FD7810"/>
    <w:rsid w:val="01543C57"/>
    <w:rsid w:val="02617026"/>
    <w:rsid w:val="043C3BE2"/>
    <w:rsid w:val="0475368A"/>
    <w:rsid w:val="059E1E55"/>
    <w:rsid w:val="064A558C"/>
    <w:rsid w:val="06905732"/>
    <w:rsid w:val="09652A18"/>
    <w:rsid w:val="0A076514"/>
    <w:rsid w:val="0A7D5286"/>
    <w:rsid w:val="0BFA4709"/>
    <w:rsid w:val="0D3324D8"/>
    <w:rsid w:val="0FBC1346"/>
    <w:rsid w:val="0FCC0D66"/>
    <w:rsid w:val="117F009B"/>
    <w:rsid w:val="14FE28F0"/>
    <w:rsid w:val="15272676"/>
    <w:rsid w:val="16A36DBB"/>
    <w:rsid w:val="16F81629"/>
    <w:rsid w:val="18062949"/>
    <w:rsid w:val="194F6B04"/>
    <w:rsid w:val="196149FC"/>
    <w:rsid w:val="1F284802"/>
    <w:rsid w:val="1FDE70B6"/>
    <w:rsid w:val="216B7333"/>
    <w:rsid w:val="220479BE"/>
    <w:rsid w:val="23A30CB3"/>
    <w:rsid w:val="24345D47"/>
    <w:rsid w:val="26610399"/>
    <w:rsid w:val="29313D83"/>
    <w:rsid w:val="2AD861A0"/>
    <w:rsid w:val="2BC10DBA"/>
    <w:rsid w:val="2BE045F2"/>
    <w:rsid w:val="2C3E5600"/>
    <w:rsid w:val="2CB35D02"/>
    <w:rsid w:val="2DC518B5"/>
    <w:rsid w:val="34A2146B"/>
    <w:rsid w:val="389F6089"/>
    <w:rsid w:val="3A652B67"/>
    <w:rsid w:val="3EC51E24"/>
    <w:rsid w:val="455B32F2"/>
    <w:rsid w:val="48AD56C7"/>
    <w:rsid w:val="48E924C1"/>
    <w:rsid w:val="4A2C48C4"/>
    <w:rsid w:val="4C657546"/>
    <w:rsid w:val="4F2C30EB"/>
    <w:rsid w:val="51723114"/>
    <w:rsid w:val="536F7A4A"/>
    <w:rsid w:val="54A6380E"/>
    <w:rsid w:val="54F47F67"/>
    <w:rsid w:val="57445426"/>
    <w:rsid w:val="58B83AD4"/>
    <w:rsid w:val="5BEC7E8A"/>
    <w:rsid w:val="5C4C6150"/>
    <w:rsid w:val="5D3B415F"/>
    <w:rsid w:val="5D7A7717"/>
    <w:rsid w:val="5DEC02FB"/>
    <w:rsid w:val="60DB5E2D"/>
    <w:rsid w:val="64647F2E"/>
    <w:rsid w:val="655D0207"/>
    <w:rsid w:val="658742F5"/>
    <w:rsid w:val="65DE5281"/>
    <w:rsid w:val="663E02BF"/>
    <w:rsid w:val="66593B80"/>
    <w:rsid w:val="66EE383F"/>
    <w:rsid w:val="68B34DC4"/>
    <w:rsid w:val="68F01501"/>
    <w:rsid w:val="69665CC3"/>
    <w:rsid w:val="6BD979BA"/>
    <w:rsid w:val="6C1256EA"/>
    <w:rsid w:val="6C50587C"/>
    <w:rsid w:val="6CE04B52"/>
    <w:rsid w:val="720E0C1D"/>
    <w:rsid w:val="730438B3"/>
    <w:rsid w:val="78F47740"/>
    <w:rsid w:val="78F96075"/>
    <w:rsid w:val="79142E54"/>
    <w:rsid w:val="797A3753"/>
    <w:rsid w:val="79866FE6"/>
    <w:rsid w:val="79B24069"/>
    <w:rsid w:val="7AD94423"/>
    <w:rsid w:val="7B947CD1"/>
    <w:rsid w:val="7BB13FEC"/>
    <w:rsid w:val="7D4551F4"/>
    <w:rsid w:val="7DDE4E7E"/>
    <w:rsid w:val="7E355268"/>
    <w:rsid w:val="7EC21D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8"/>
    <w:autoRedefine/>
    <w:semiHidden/>
    <w:unhideWhenUsed/>
    <w:qFormat/>
    <w:uiPriority w:val="99"/>
    <w:rPr>
      <w:rFonts w:ascii="宋体" w:eastAsia="宋体"/>
      <w:sz w:val="24"/>
      <w:szCs w:val="24"/>
    </w:rPr>
  </w:style>
  <w:style w:type="paragraph" w:styleId="5">
    <w:name w:val="Balloon Text"/>
    <w:basedOn w:val="1"/>
    <w:link w:val="17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Title"/>
    <w:basedOn w:val="1"/>
    <w:next w:val="1"/>
    <w:link w:val="16"/>
    <w:autoRedefine/>
    <w:qFormat/>
    <w:uiPriority w:val="10"/>
    <w:pPr>
      <w:widowControl w:val="0"/>
      <w:adjustRightInd/>
      <w:snapToGrid/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kern w:val="2"/>
      <w:sz w:val="32"/>
      <w:szCs w:val="32"/>
    </w:rPr>
  </w:style>
  <w:style w:type="table" w:styleId="10">
    <w:name w:val="Table Grid"/>
    <w:basedOn w:val="9"/>
    <w:autoRedefine/>
    <w:qFormat/>
    <w:uiPriority w:val="59"/>
    <w:rPr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14">
    <w:name w:val="页眉 字符"/>
    <w:basedOn w:val="11"/>
    <w:link w:val="7"/>
    <w:qFormat/>
    <w:uiPriority w:val="99"/>
    <w:rPr>
      <w:rFonts w:ascii="Tahoma" w:hAnsi="Tahoma"/>
      <w:kern w:val="0"/>
      <w:sz w:val="18"/>
      <w:szCs w:val="18"/>
    </w:rPr>
  </w:style>
  <w:style w:type="character" w:customStyle="1" w:styleId="15">
    <w:name w:val="页脚 字符"/>
    <w:basedOn w:val="11"/>
    <w:link w:val="6"/>
    <w:autoRedefine/>
    <w:qFormat/>
    <w:uiPriority w:val="99"/>
    <w:rPr>
      <w:rFonts w:ascii="Tahoma" w:hAnsi="Tahoma"/>
      <w:kern w:val="0"/>
      <w:sz w:val="18"/>
      <w:szCs w:val="18"/>
    </w:rPr>
  </w:style>
  <w:style w:type="character" w:customStyle="1" w:styleId="16">
    <w:name w:val="标题 字符"/>
    <w:basedOn w:val="11"/>
    <w:link w:val="8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7">
    <w:name w:val="批注框文本 字符"/>
    <w:basedOn w:val="11"/>
    <w:link w:val="5"/>
    <w:autoRedefine/>
    <w:semiHidden/>
    <w:qFormat/>
    <w:uiPriority w:val="99"/>
    <w:rPr>
      <w:rFonts w:ascii="Tahoma" w:hAnsi="Tahoma"/>
      <w:kern w:val="0"/>
      <w:sz w:val="18"/>
      <w:szCs w:val="18"/>
    </w:rPr>
  </w:style>
  <w:style w:type="character" w:customStyle="1" w:styleId="18">
    <w:name w:val="文档结构图 字符"/>
    <w:basedOn w:val="11"/>
    <w:link w:val="4"/>
    <w:autoRedefine/>
    <w:semiHidden/>
    <w:qFormat/>
    <w:uiPriority w:val="99"/>
    <w:rPr>
      <w:rFonts w:ascii="宋体" w:hAnsi="Tahoma" w:eastAsia="宋体"/>
      <w:kern w:val="0"/>
      <w:sz w:val="24"/>
      <w:szCs w:val="24"/>
    </w:rPr>
  </w:style>
  <w:style w:type="character" w:customStyle="1" w:styleId="19">
    <w:name w:val="标题 1 字符"/>
    <w:basedOn w:val="11"/>
    <w:link w:val="2"/>
    <w:autoRedefine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20">
    <w:name w:val="页脚字符"/>
    <w:basedOn w:val="11"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sv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1</Pages>
  <Words>213</Words>
  <Characters>498</Characters>
  <Lines>5</Lines>
  <Paragraphs>1</Paragraphs>
  <TotalTime>6</TotalTime>
  <ScaleCrop>false</ScaleCrop>
  <LinksUpToDate>false</LinksUpToDate>
  <CharactersWithSpaces>548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2018-10-12T07:41:00Z</dcterms:created>
  <dc:creator>lenovo</dc:creator>
  <cp:lastModifiedBy>山东沃德森生物研究所刘</cp:lastModifiedBy>
  <cp:lastPrinted>2021-08-24T00:57:00Z</cp:lastPrinted>
  <dcterms:modified xsi:type="dcterms:W3CDTF">2026-01-16T08:50:39Z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DEE3353A2F5A4A32926C037875A8ECC6</vt:lpwstr>
  </property>
  <property fmtid="{D5CDD505-2E9C-101B-9397-08002B2CF9AE}" pid="4" name="KSOTemplateDocerSaveRecord">
    <vt:lpwstr>eyJoZGlkIjoiYmVjYzZkMzBkYWJiZWQ4YjBhODFmYmE5MzRiMzE2NzMiLCJ1c2VySWQiOiIxMDI4OTE0NjE2In0=</vt:lpwstr>
  </property>
</Properties>
</file>